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14.9.0.0 -->
  <w:body>
    <w:p>
      <w:pPr>
        <w:jc w:val="center"/>
        <w:rPr>
          <w:rFonts w:ascii="宋体" w:hAnsi="宋体" w:cs="宋体" w:hint="eastAsia"/>
          <w:sz w:val="52"/>
          <w:szCs w:val="52"/>
        </w:rPr>
      </w:pPr>
      <w:r>
        <w:rPr>
          <w:rFonts w:ascii="宋体" w:hAnsi="宋体" w:cs="宋体" w:hint="eastAsia"/>
          <w:sz w:val="52"/>
          <w:szCs w:val="52"/>
        </w:rPr>
        <w:t>【</w:t>
      </w:r>
      <w:r>
        <w:rPr>
          <w:rFonts w:ascii="宋体" w:hAnsi="宋体" w:cs="宋体" w:hint="eastAsia"/>
          <w:b/>
          <w:bCs/>
          <w:sz w:val="52"/>
          <w:szCs w:val="52"/>
        </w:rPr>
        <w:t>货物类</w:t>
      </w:r>
      <w:r>
        <w:rPr>
          <w:rFonts w:ascii="宋体" w:hAnsi="宋体" w:cs="宋体" w:hint="eastAsia"/>
          <w:sz w:val="52"/>
          <w:szCs w:val="52"/>
        </w:rPr>
        <w:t>】</w:t>
      </w:r>
    </w:p>
    <w:p>
      <w:pPr>
        <w:jc w:val="center"/>
        <w:rPr>
          <w:rFonts w:ascii="宋体" w:hAnsi="宋体" w:cs="宋体" w:hint="eastAsia"/>
          <w:b/>
          <w:sz w:val="44"/>
          <w:szCs w:val="44"/>
        </w:rPr>
      </w:pPr>
    </w:p>
    <w:p>
      <w:pPr>
        <w:jc w:val="center"/>
        <w:rPr>
          <w:rFonts w:ascii="宋体" w:hAnsi="宋体" w:cs="宋体" w:hint="eastAsia"/>
          <w:b/>
          <w:sz w:val="44"/>
          <w:szCs w:val="44"/>
        </w:rPr>
      </w:pPr>
    </w:p>
    <w:p>
      <w:pPr>
        <w:jc w:val="center"/>
        <w:rPr>
          <w:rFonts w:ascii="宋体" w:eastAsia="宋体" w:hAnsi="宋体" w:cs="宋体" w:hint="eastAsia"/>
          <w:b/>
          <w:color w:val="000000"/>
          <w:sz w:val="52"/>
          <w:szCs w:val="52"/>
          <w:highlight w:val="yellow"/>
          <w:lang w:eastAsia="zh-CN"/>
        </w:rPr>
      </w:pPr>
      <w:r>
        <w:rPr>
          <w:rFonts w:ascii="宋体" w:hAnsi="宋体" w:cs="宋体" w:hint="eastAsia"/>
          <w:b/>
          <w:sz w:val="44"/>
          <w:szCs w:val="44"/>
        </w:rPr>
        <w:t>项</w:t>
      </w:r>
      <w:r>
        <w:rPr>
          <w:rFonts w:ascii="宋体" w:hAnsi="宋体" w:cs="宋体" w:hint="eastAsia"/>
          <w:b/>
          <w:sz w:val="44"/>
          <w:szCs w:val="44"/>
          <w:highlight w:val="none"/>
        </w:rPr>
        <w:t>目编号：</w:t>
      </w:r>
      <w:r>
        <w:rPr>
          <w:rFonts w:ascii="宋体" w:hAnsi="宋体" w:cs="宋体" w:hint="eastAsia"/>
          <w:b/>
          <w:color w:val="000000"/>
          <w:sz w:val="44"/>
          <w:szCs w:val="44"/>
          <w:highlight w:val="none"/>
          <w:lang w:eastAsia="zh-CN"/>
        </w:rPr>
        <w:t>SZDL2022001941</w:t>
      </w:r>
    </w:p>
    <w:p>
      <w:pPr>
        <w:pStyle w:val="BodyText"/>
        <w:rPr>
          <w:rFonts w:ascii="宋体" w:hAnsi="宋体" w:cs="宋体" w:hint="eastAsia"/>
          <w:bCs w:val="0"/>
          <w:color w:val="000000"/>
          <w:highlight w:val="yellow"/>
        </w:rPr>
      </w:pPr>
    </w:p>
    <w:p>
      <w:pPr>
        <w:jc w:val="center"/>
        <w:rPr>
          <w:rFonts w:ascii="宋体" w:hAnsi="宋体" w:cs="宋体" w:hint="eastAsia"/>
          <w:b/>
          <w:color w:val="000000"/>
          <w:sz w:val="72"/>
          <w:szCs w:val="72"/>
        </w:rPr>
      </w:pPr>
      <w:r>
        <w:rPr>
          <w:rFonts w:ascii="宋体" w:hAnsi="宋体" w:cs="宋体" w:hint="eastAsia"/>
          <w:b/>
          <w:color w:val="000000"/>
          <w:sz w:val="72"/>
          <w:szCs w:val="72"/>
        </w:rPr>
        <w:t>原子吸收仪设备</w:t>
      </w:r>
    </w:p>
    <w:p>
      <w:pPr>
        <w:jc w:val="center"/>
        <w:rPr>
          <w:rFonts w:ascii="宋体" w:hAnsi="宋体" w:cs="宋体" w:hint="eastAsia"/>
          <w:b/>
          <w:sz w:val="52"/>
          <w:szCs w:val="52"/>
        </w:rPr>
      </w:pPr>
    </w:p>
    <w:p>
      <w:pPr>
        <w:jc w:val="center"/>
        <w:rPr>
          <w:rFonts w:ascii="宋体" w:hAnsi="宋体" w:cs="宋体" w:hint="eastAsia"/>
          <w:sz w:val="52"/>
          <w:szCs w:val="52"/>
        </w:rPr>
      </w:pPr>
      <w:r>
        <w:rPr>
          <w:rFonts w:ascii="宋体" w:hAnsi="宋体" w:cs="宋体" w:hint="eastAsia"/>
          <w:b/>
          <w:sz w:val="52"/>
          <w:szCs w:val="52"/>
        </w:rPr>
        <w:t>包号：A</w:t>
      </w:r>
    </w:p>
    <w:p>
      <w:pPr>
        <w:pStyle w:val="BodyText"/>
        <w:rPr>
          <w:rFonts w:ascii="宋体" w:hAnsi="宋体" w:cs="宋体" w:hint="eastAsia"/>
        </w:rPr>
      </w:pPr>
    </w:p>
    <w:p>
      <w:pPr>
        <w:jc w:val="center"/>
        <w:rPr>
          <w:rFonts w:ascii="宋体" w:hAnsi="宋体" w:cs="宋体" w:hint="eastAsia"/>
          <w:b/>
          <w:sz w:val="52"/>
          <w:szCs w:val="52"/>
        </w:rPr>
      </w:pPr>
      <w:r>
        <w:rPr>
          <w:rFonts w:ascii="宋体" w:hAnsi="宋体" w:cs="宋体" w:hint="eastAsia"/>
          <w:b/>
          <w:sz w:val="52"/>
          <w:szCs w:val="52"/>
        </w:rPr>
        <w:t>招标文件</w:t>
      </w:r>
    </w:p>
    <w:p>
      <w:pPr>
        <w:jc w:val="center"/>
        <w:rPr>
          <w:rFonts w:ascii="宋体" w:hAnsi="宋体" w:cs="宋体" w:hint="eastAsia"/>
          <w:sz w:val="44"/>
          <w:szCs w:val="44"/>
        </w:rPr>
      </w:pPr>
    </w:p>
    <w:p>
      <w:pPr>
        <w:pStyle w:val="BodyText"/>
        <w:jc w:val="center"/>
        <w:rPr>
          <w:rFonts w:ascii="宋体" w:hAnsi="宋体" w:cs="宋体" w:hint="eastAsia"/>
          <w:sz w:val="44"/>
          <w:szCs w:val="44"/>
        </w:rPr>
      </w:pPr>
      <w:r>
        <w:rPr>
          <w:rFonts w:ascii="宋体" w:hAnsi="宋体" w:cs="宋体" w:hint="eastAsia"/>
          <w:color w:val="000000"/>
          <w:sz w:val="36"/>
          <w:szCs w:val="32"/>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2" o:spid="_x0000_i1025" type="#_x0000_t75" alt="2222" style="height:107.54pt;mso-position-horizontal-relative:page;mso-position-vertical-relative:page;mso-wrap-style:square;width:83.16pt" filled="f" stroked="f">
            <v:stroke linestyle="single"/>
            <v:imagedata r:id="rId4" o:title="2222"/>
            <v:path o:extrusionok="f"/>
            <o:lock v:ext="edit" aspectratio="t"/>
          </v:shape>
        </w:pict>
      </w:r>
    </w:p>
    <w:p>
      <w:pPr>
        <w:spacing w:line="480" w:lineRule="auto"/>
        <w:rPr>
          <w:rFonts w:ascii="宋体" w:hAnsi="宋体" w:cs="宋体" w:hint="eastAsia"/>
          <w:b/>
          <w:bCs/>
          <w:sz w:val="28"/>
          <w:szCs w:val="28"/>
        </w:rPr>
      </w:pPr>
    </w:p>
    <w:p>
      <w:pPr>
        <w:pStyle w:val="Title"/>
        <w:jc w:val="both"/>
        <w:outlineLvl w:val="9"/>
        <w:rPr>
          <w:rFonts w:hint="eastAsia"/>
        </w:rPr>
      </w:pPr>
    </w:p>
    <w:p>
      <w:pPr>
        <w:jc w:val="center"/>
        <w:rPr>
          <w:rFonts w:ascii="宋体" w:hAnsi="宋体" w:cs="宋体" w:hint="eastAsia"/>
          <w:b/>
          <w:bCs/>
          <w:sz w:val="28"/>
          <w:szCs w:val="28"/>
        </w:rPr>
      </w:pPr>
    </w:p>
    <w:p>
      <w:pPr>
        <w:jc w:val="center"/>
        <w:rPr>
          <w:rFonts w:ascii="宋体" w:hAnsi="宋体" w:cs="宋体" w:hint="eastAsia"/>
          <w:b/>
          <w:bCs/>
          <w:sz w:val="28"/>
          <w:szCs w:val="28"/>
        </w:rPr>
      </w:pPr>
      <w:r>
        <w:rPr>
          <w:rFonts w:ascii="宋体" w:hAnsi="宋体" w:cs="宋体" w:hint="eastAsia"/>
          <w:b/>
          <w:bCs/>
          <w:sz w:val="28"/>
          <w:szCs w:val="28"/>
        </w:rPr>
        <w:t>深圳市振东招标代理有限公司</w:t>
      </w:r>
    </w:p>
    <w:p>
      <w:pPr>
        <w:jc w:val="center"/>
        <w:rPr>
          <w:rFonts w:ascii="宋体" w:hAnsi="宋体" w:cs="宋体" w:hint="eastAsia"/>
          <w:b/>
          <w:bCs/>
          <w:sz w:val="28"/>
          <w:szCs w:val="28"/>
        </w:rPr>
      </w:pPr>
      <w:r>
        <w:rPr>
          <w:rFonts w:ascii="宋体" w:hAnsi="宋体" w:cs="宋体" w:hint="eastAsia"/>
          <w:b/>
          <w:bCs/>
          <w:sz w:val="28"/>
          <w:szCs w:val="28"/>
        </w:rPr>
        <w:t>二〇二二年八月</w:t>
      </w:r>
    </w:p>
    <w:p>
      <w:pPr>
        <w:spacing w:line="480" w:lineRule="auto"/>
        <w:jc w:val="center"/>
        <w:rPr>
          <w:rFonts w:ascii="宋体" w:hAnsi="宋体" w:cs="宋体" w:hint="eastAsia"/>
          <w:sz w:val="36"/>
        </w:rPr>
      </w:pPr>
    </w:p>
    <w:p>
      <w:pPr>
        <w:jc w:val="center"/>
        <w:rPr>
          <w:rFonts w:ascii="宋体" w:hAnsi="宋体" w:cs="宋体" w:hint="eastAsia"/>
          <w:color w:val="FF0000"/>
        </w:rPr>
      </w:pPr>
    </w:p>
    <w:p>
      <w:pPr>
        <w:pStyle w:val="a1"/>
        <w:jc w:val="center"/>
        <w:rPr>
          <w:color w:val="FF0000"/>
          <w:sz w:val="44"/>
          <w:szCs w:val="44"/>
        </w:rPr>
      </w:pPr>
      <w:r>
        <w:rPr>
          <w:rFonts w:hint="eastAsia"/>
          <w:color w:val="FF0000"/>
          <w:sz w:val="44"/>
          <w:szCs w:val="44"/>
        </w:rPr>
        <w:t>特别警示条款</w:t>
      </w:r>
    </w:p>
    <w:p>
      <w:pPr>
        <w:pStyle w:val="a1"/>
      </w:pPr>
    </w:p>
    <w:p>
      <w:pPr>
        <w:pStyle w:val="a1"/>
        <w:jc w:val="center"/>
        <w:rPr>
          <w:b/>
          <w:color w:val="FF0000"/>
        </w:rPr>
      </w:pPr>
      <w:r>
        <w:rPr>
          <w:rFonts w:hint="eastAsia"/>
          <w:b/>
          <w:color w:val="FF0000"/>
        </w:rPr>
        <w:t>深圳经济特区政府采购条例</w:t>
      </w:r>
    </w:p>
    <w:p>
      <w:pPr>
        <w:pStyle w:val="a1"/>
        <w:jc w:val="center"/>
        <w:rPr>
          <w:color w:val="FF0000"/>
        </w:rPr>
      </w:pPr>
    </w:p>
    <w:p>
      <w:pPr>
        <w:pStyle w:val="a1"/>
        <w:rPr>
          <w:color w:val="FF0000"/>
        </w:rPr>
      </w:pPr>
      <w:r>
        <w:rPr>
          <w:rFonts w:hint="eastAsia"/>
          <w:b/>
          <w:color w:val="FF0000"/>
        </w:rPr>
        <w:t>第五十七条</w:t>
      </w:r>
      <w:r>
        <w:rPr>
          <w:rFonts w:hint="eastAsia"/>
          <w:color w:val="FF0000"/>
        </w:rPr>
        <w:t>  供应商在政府采购中，有下列行为之一的，一至三年内禁止其参与本市政府采购，并由主管部门记入供应商诚信档案，处采购金额千分之十以上千分之二十以下罚款；情节严重的，取消其参与本市政府采购资格，处采购金额千分之二十以上千分之三十以下罚款，并由市场监管部门依法吊销其营业执照；给他人造成损失的，依法承担赔偿责任；构成犯罪的，依法追究刑事责任：</w:t>
      </w:r>
    </w:p>
    <w:p>
      <w:pPr>
        <w:pStyle w:val="a1"/>
        <w:rPr>
          <w:color w:val="FF0000"/>
        </w:rPr>
      </w:pPr>
      <w:r>
        <w:rPr>
          <w:rFonts w:hint="eastAsia"/>
          <w:color w:val="FF0000"/>
        </w:rPr>
        <w:t>　　（一）在采购活动中应当回避而未回避的；</w:t>
      </w:r>
    </w:p>
    <w:p>
      <w:pPr>
        <w:pStyle w:val="a1"/>
        <w:rPr>
          <w:color w:val="FF0000"/>
        </w:rPr>
      </w:pPr>
      <w:r>
        <w:rPr>
          <w:rFonts w:hint="eastAsia"/>
          <w:color w:val="FF0000"/>
        </w:rPr>
        <w:t>　　（二）未按照本条例规定签订、履行采购合同，造成严重后果的；</w:t>
      </w:r>
    </w:p>
    <w:p>
      <w:pPr>
        <w:pStyle w:val="a1"/>
        <w:rPr>
          <w:color w:val="FF0000"/>
        </w:rPr>
      </w:pPr>
      <w:r>
        <w:rPr>
          <w:rFonts w:hint="eastAsia"/>
          <w:color w:val="FF0000"/>
        </w:rPr>
        <w:t>　　（三）隐瞒真实情况，提供虚假资料的；</w:t>
      </w:r>
    </w:p>
    <w:p>
      <w:pPr>
        <w:pStyle w:val="a1"/>
        <w:rPr>
          <w:color w:val="FF0000"/>
        </w:rPr>
      </w:pPr>
      <w:r>
        <w:rPr>
          <w:rFonts w:hint="eastAsia"/>
          <w:color w:val="FF0000"/>
        </w:rPr>
        <w:t>　　（四）以非法手段排斥其他供应商参与竞争的；</w:t>
      </w:r>
    </w:p>
    <w:p>
      <w:pPr>
        <w:pStyle w:val="a1"/>
        <w:rPr>
          <w:color w:val="FF0000"/>
        </w:rPr>
      </w:pPr>
      <w:r>
        <w:rPr>
          <w:rFonts w:hint="eastAsia"/>
          <w:color w:val="FF0000"/>
        </w:rPr>
        <w:t>　　（五）与其他采购参加人串通投标的；</w:t>
      </w:r>
    </w:p>
    <w:p>
      <w:pPr>
        <w:pStyle w:val="a1"/>
        <w:rPr>
          <w:color w:val="FF0000"/>
        </w:rPr>
      </w:pPr>
      <w:r>
        <w:rPr>
          <w:rFonts w:hint="eastAsia"/>
          <w:color w:val="FF0000"/>
        </w:rPr>
        <w:t>　　（六）恶意投诉的；</w:t>
      </w:r>
    </w:p>
    <w:p>
      <w:pPr>
        <w:pStyle w:val="a1"/>
        <w:rPr>
          <w:color w:val="FF0000"/>
        </w:rPr>
      </w:pPr>
      <w:r>
        <w:rPr>
          <w:rFonts w:hint="eastAsia"/>
          <w:color w:val="FF0000"/>
        </w:rPr>
        <w:t>　　（七）向采购项目相关人行贿或者提供其他不当利益的；</w:t>
      </w:r>
    </w:p>
    <w:p>
      <w:pPr>
        <w:pStyle w:val="a1"/>
        <w:rPr>
          <w:color w:val="FF0000"/>
        </w:rPr>
      </w:pPr>
      <w:r>
        <w:rPr>
          <w:rFonts w:hint="eastAsia"/>
          <w:color w:val="FF0000"/>
        </w:rPr>
        <w:t>　　（八）阻碍、抗拒主管部门监督检查的；</w:t>
      </w:r>
    </w:p>
    <w:p>
      <w:pPr>
        <w:pStyle w:val="a1"/>
        <w:rPr>
          <w:color w:val="FF0000"/>
        </w:rPr>
      </w:pPr>
      <w:r>
        <w:rPr>
          <w:rFonts w:hint="eastAsia"/>
          <w:color w:val="FF0000"/>
        </w:rPr>
        <w:t>　　（九）其他违反本条例规定的行为。</w:t>
      </w:r>
    </w:p>
    <w:p>
      <w:pPr>
        <w:pStyle w:val="a1"/>
        <w:rPr>
          <w:color w:val="FF0000"/>
        </w:rPr>
      </w:pPr>
    </w:p>
    <w:p>
      <w:pPr>
        <w:pStyle w:val="a1"/>
        <w:rPr>
          <w:color w:val="FF0000"/>
        </w:rPr>
      </w:pPr>
    </w:p>
    <w:p>
      <w:pPr>
        <w:pStyle w:val="a1"/>
        <w:jc w:val="center"/>
        <w:rPr>
          <w:b/>
          <w:color w:val="FF0000"/>
        </w:rPr>
      </w:pPr>
      <w:r>
        <w:rPr>
          <w:rFonts w:hint="eastAsia"/>
          <w:b/>
          <w:color w:val="FF0000"/>
        </w:rPr>
        <w:t>深圳经济特区政府采购条例实施细则</w:t>
      </w:r>
    </w:p>
    <w:p>
      <w:pPr>
        <w:pStyle w:val="a1"/>
        <w:rPr>
          <w:color w:val="FF0000"/>
        </w:rPr>
      </w:pPr>
    </w:p>
    <w:p>
      <w:pPr>
        <w:pStyle w:val="a1"/>
        <w:rPr>
          <w:color w:val="FF0000"/>
        </w:rPr>
      </w:pPr>
    </w:p>
    <w:p>
      <w:pPr>
        <w:pStyle w:val="a1"/>
        <w:rPr>
          <w:rFonts w:hint="eastAsia"/>
          <w:color w:val="FF0000"/>
        </w:rPr>
      </w:pPr>
      <w:r>
        <w:rPr>
          <w:rFonts w:hint="eastAsia"/>
          <w:b/>
          <w:color w:val="FF0000"/>
        </w:rPr>
        <w:t>第七十五条</w:t>
      </w:r>
      <w:r>
        <w:rPr>
          <w:rFonts w:hint="eastAsia"/>
          <w:color w:val="FF0000"/>
        </w:rPr>
        <w:t xml:space="preserve"> 供应商有下列情形之一的，属于采购条例所称的串通投标行为，按照采购条例第五十七条有关规定处理：</w:t>
      </w:r>
    </w:p>
    <w:p>
      <w:pPr>
        <w:pStyle w:val="a1"/>
        <w:rPr>
          <w:rFonts w:hint="eastAsia"/>
          <w:color w:val="FF0000"/>
        </w:rPr>
      </w:pPr>
      <w:r>
        <w:rPr>
          <w:rFonts w:hint="eastAsia"/>
          <w:color w:val="FF0000"/>
        </w:rPr>
        <w:t>　　（一）投标供应商之间相互约定给予未中标的供应商利益补偿。</w:t>
      </w:r>
    </w:p>
    <w:p>
      <w:pPr>
        <w:pStyle w:val="a1"/>
        <w:rPr>
          <w:rFonts w:hint="eastAsia"/>
          <w:color w:val="FF0000"/>
        </w:rPr>
      </w:pPr>
      <w:r>
        <w:rPr>
          <w:rFonts w:hint="eastAsia"/>
          <w:color w:val="FF0000"/>
        </w:rPr>
        <w:t>　　（二）不同投标供应商的法定代表人、主要经营负责人、项目投标授权代表人、项目负责人、主要技术人员为同一人、属同一单位或者在同一单位缴纳社会保险。</w:t>
      </w:r>
    </w:p>
    <w:p>
      <w:pPr>
        <w:pStyle w:val="a1"/>
        <w:rPr>
          <w:rFonts w:hint="eastAsia"/>
          <w:color w:val="FF0000"/>
        </w:rPr>
      </w:pPr>
      <w:r>
        <w:rPr>
          <w:rFonts w:hint="eastAsia"/>
          <w:color w:val="FF0000"/>
        </w:rPr>
        <w:t>　　（三）不同投标供应商的投标文件由同一单位或者同一人编制，或者由同一人分阶段参与编制的。</w:t>
      </w:r>
    </w:p>
    <w:p>
      <w:pPr>
        <w:pStyle w:val="a1"/>
        <w:rPr>
          <w:rFonts w:hint="eastAsia"/>
          <w:color w:val="FF0000"/>
        </w:rPr>
      </w:pPr>
      <w:r>
        <w:rPr>
          <w:rFonts w:hint="eastAsia"/>
          <w:color w:val="FF0000"/>
        </w:rPr>
        <w:t>　　（四）不同投标供应商的投标文件或部分投标文件相互混装。</w:t>
      </w:r>
    </w:p>
    <w:p>
      <w:pPr>
        <w:pStyle w:val="a1"/>
        <w:rPr>
          <w:rFonts w:hint="eastAsia"/>
          <w:color w:val="FF0000"/>
        </w:rPr>
      </w:pPr>
      <w:r>
        <w:rPr>
          <w:rFonts w:hint="eastAsia"/>
          <w:color w:val="FF0000"/>
        </w:rPr>
        <w:t>　　（五）不同投标供应商的投标文件内容存在非正常一致。</w:t>
      </w:r>
    </w:p>
    <w:p>
      <w:pPr>
        <w:pStyle w:val="a1"/>
        <w:rPr>
          <w:rFonts w:hint="eastAsia"/>
          <w:color w:val="FF0000"/>
        </w:rPr>
      </w:pPr>
      <w:r>
        <w:rPr>
          <w:rFonts w:hint="eastAsia"/>
          <w:color w:val="FF0000"/>
        </w:rPr>
        <w:t>　　（六）由同一单位工作人员为两家以上（含两家）供应商进行同一项投标活动的。</w:t>
      </w:r>
    </w:p>
    <w:p>
      <w:pPr>
        <w:pStyle w:val="a1"/>
        <w:rPr>
          <w:color w:val="FF0000"/>
        </w:rPr>
      </w:pPr>
      <w:r>
        <w:rPr>
          <w:rFonts w:hint="eastAsia"/>
          <w:color w:val="FF0000"/>
        </w:rPr>
        <w:t>　　（七）主管部门依照法律、法规认定的其他情形。</w:t>
      </w:r>
    </w:p>
    <w:p>
      <w:pPr>
        <w:pStyle w:val="a1"/>
        <w:rPr>
          <w:color w:val="FF0000"/>
        </w:rPr>
      </w:pPr>
    </w:p>
    <w:p>
      <w:pPr>
        <w:pStyle w:val="a1"/>
        <w:rPr>
          <w:rFonts w:hint="eastAsia"/>
          <w:color w:val="FF0000"/>
        </w:rPr>
      </w:pPr>
      <w:r>
        <w:rPr>
          <w:rFonts w:hint="eastAsia"/>
          <w:b/>
          <w:color w:val="FF0000"/>
        </w:rPr>
        <w:t>第七十七条</w:t>
      </w:r>
      <w:r>
        <w:rPr>
          <w:rFonts w:hint="eastAsia"/>
          <w:color w:val="FF0000"/>
        </w:rPr>
        <w:t xml:space="preserve"> 供应商有下列情形之一的，属于隐瞒真实情况，提供虚假资料，按照采购条例第五十七条的有关规定处理：</w:t>
      </w:r>
    </w:p>
    <w:p>
      <w:pPr>
        <w:pStyle w:val="a1"/>
        <w:rPr>
          <w:rFonts w:hint="eastAsia"/>
          <w:color w:val="FF0000"/>
        </w:rPr>
      </w:pPr>
      <w:r>
        <w:rPr>
          <w:rFonts w:hint="eastAsia"/>
          <w:color w:val="FF0000"/>
        </w:rPr>
        <w:t>　　（一）通过转让或者租借等方式从其他单位获取资格或者资质证书投标的。</w:t>
      </w:r>
    </w:p>
    <w:p>
      <w:pPr>
        <w:pStyle w:val="a1"/>
        <w:rPr>
          <w:rFonts w:hint="eastAsia"/>
          <w:color w:val="FF0000"/>
        </w:rPr>
      </w:pPr>
      <w:r>
        <w:rPr>
          <w:rFonts w:hint="eastAsia"/>
          <w:color w:val="FF0000"/>
        </w:rPr>
        <w:t>　　（二）由其他单位或者其他单位负责人在投标供应商编制的投标文件上加盖印章或者签字的。</w:t>
      </w:r>
    </w:p>
    <w:p>
      <w:pPr>
        <w:pStyle w:val="a1"/>
        <w:rPr>
          <w:rFonts w:hint="eastAsia"/>
          <w:color w:val="FF0000"/>
        </w:rPr>
      </w:pPr>
      <w:r>
        <w:rPr>
          <w:rFonts w:hint="eastAsia"/>
          <w:color w:val="FF0000"/>
        </w:rPr>
        <w:t>　　（三）项目负责人或者主要技术人员不是本单位人员的。</w:t>
      </w:r>
    </w:p>
    <w:p>
      <w:pPr>
        <w:pStyle w:val="a1"/>
        <w:rPr>
          <w:rFonts w:hint="eastAsia"/>
          <w:color w:val="FF0000"/>
        </w:rPr>
      </w:pPr>
      <w:r>
        <w:rPr>
          <w:rFonts w:hint="eastAsia"/>
          <w:color w:val="FF0000"/>
        </w:rPr>
        <w:t>　　（四）投标保证金不是从投标供应商基本账户转出的。</w:t>
      </w:r>
    </w:p>
    <w:p>
      <w:pPr>
        <w:pStyle w:val="a1"/>
        <w:rPr>
          <w:rFonts w:hint="eastAsia"/>
          <w:color w:val="FF0000"/>
        </w:rPr>
      </w:pPr>
      <w:r>
        <w:rPr>
          <w:rFonts w:hint="eastAsia"/>
          <w:color w:val="FF0000"/>
        </w:rPr>
        <w:t>　　（五）其他隐瞒真实情况、提供虚假资料的行为。</w:t>
      </w:r>
    </w:p>
    <w:p>
      <w:pPr>
        <w:pStyle w:val="a1"/>
        <w:rPr>
          <w:color w:val="FF0000"/>
        </w:rPr>
      </w:pPr>
      <w:r>
        <w:rPr>
          <w:rFonts w:hint="eastAsia"/>
          <w:color w:val="FF0000"/>
        </w:rPr>
        <w:t>　　投标供应商不能提供项目负责人或者主要技术人员的劳动合同、社会保险等劳动关系证明材料的，视为存在前款第（三）项规定的情形。</w:t>
      </w:r>
    </w:p>
    <w:p>
      <w:pPr>
        <w:pStyle w:val="Heading1"/>
        <w:rPr>
          <w:rFonts w:eastAsia="宋体" w:cs="宋体" w:hint="eastAsia"/>
          <w:b/>
          <w:bCs/>
          <w:sz w:val="32"/>
          <w:szCs w:val="72"/>
        </w:rPr>
      </w:pPr>
      <w:r>
        <w:rPr>
          <w:rFonts w:eastAsia="宋体" w:cs="宋体" w:hint="eastAsia"/>
          <w:sz w:val="32"/>
          <w:szCs w:val="72"/>
        </w:rPr>
        <w:br w:type="page"/>
      </w:r>
      <w:r>
        <w:rPr>
          <w:rFonts w:eastAsia="宋体" w:cs="宋体" w:hint="eastAsia"/>
          <w:sz w:val="32"/>
          <w:szCs w:val="72"/>
        </w:rPr>
        <w:t>关键信息</w:t>
      </w:r>
    </w:p>
    <w:p>
      <w:pPr>
        <w:pStyle w:val="Heading2"/>
        <w:spacing w:line="480" w:lineRule="auto"/>
        <w:rPr>
          <w:rFonts w:cs="宋体" w:hint="eastAsia"/>
          <w:b w:val="0"/>
          <w:bCs w:val="0"/>
          <w:sz w:val="28"/>
          <w:szCs w:val="21"/>
        </w:rPr>
      </w:pPr>
      <w:r>
        <w:rPr>
          <w:rFonts w:cs="宋体" w:hint="eastAsia"/>
          <w:sz w:val="28"/>
          <w:szCs w:val="21"/>
        </w:rPr>
        <w:t>项目信息</w:t>
      </w:r>
    </w:p>
    <w:p>
      <w:pPr>
        <w:adjustRightInd w:val="0"/>
        <w:spacing w:line="480" w:lineRule="auto"/>
        <w:ind w:firstLine="1680" w:firstLineChars="700"/>
        <w:jc w:val="left"/>
        <w:rPr>
          <w:rFonts w:ascii="宋体" w:eastAsia="宋体" w:hAnsi="宋体" w:cs="宋体" w:hint="eastAsia"/>
          <w:color w:val="000000"/>
          <w:sz w:val="30"/>
          <w:szCs w:val="30"/>
          <w:lang w:eastAsia="zh-CN"/>
        </w:rPr>
      </w:pPr>
      <w:r>
        <w:rPr>
          <w:rFonts w:ascii="宋体" w:hAnsi="宋体" w:cs="宋体" w:hint="eastAsia"/>
          <w:sz w:val="30"/>
          <w:szCs w:val="30"/>
        </w:rPr>
        <w:t>项目编号：</w:t>
      </w:r>
      <w:r>
        <w:rPr>
          <w:rFonts w:ascii="宋体" w:hAnsi="宋体" w:cs="宋体" w:hint="eastAsia"/>
          <w:color w:val="000000"/>
          <w:sz w:val="30"/>
          <w:szCs w:val="30"/>
          <w:lang w:eastAsia="zh-CN"/>
        </w:rPr>
        <w:t>SZDL2022001941</w:t>
      </w:r>
    </w:p>
    <w:p>
      <w:pPr>
        <w:adjustRightInd w:val="0"/>
        <w:spacing w:line="480" w:lineRule="auto"/>
        <w:ind w:firstLine="1680" w:firstLineChars="700"/>
        <w:jc w:val="left"/>
        <w:rPr>
          <w:rFonts w:ascii="宋体" w:hAnsi="宋体" w:cs="宋体" w:hint="eastAsia"/>
          <w:color w:val="000000"/>
          <w:sz w:val="30"/>
          <w:szCs w:val="30"/>
        </w:rPr>
      </w:pPr>
      <w:r>
        <w:rPr>
          <w:rFonts w:ascii="宋体" w:hAnsi="宋体" w:cs="宋体" w:hint="eastAsia"/>
          <w:color w:val="000000"/>
          <w:sz w:val="30"/>
          <w:szCs w:val="30"/>
        </w:rPr>
        <w:t>项目名称：原子吸收仪设备</w:t>
      </w:r>
    </w:p>
    <w:p>
      <w:pPr>
        <w:adjustRightInd w:val="0"/>
        <w:spacing w:line="480" w:lineRule="auto"/>
        <w:ind w:firstLine="1680" w:firstLineChars="700"/>
        <w:jc w:val="left"/>
        <w:rPr>
          <w:rFonts w:ascii="宋体" w:hAnsi="宋体" w:cs="宋体" w:hint="eastAsia"/>
          <w:sz w:val="30"/>
          <w:szCs w:val="30"/>
        </w:rPr>
      </w:pPr>
      <w:r>
        <w:rPr>
          <w:rFonts w:ascii="宋体" w:hAnsi="宋体" w:cs="宋体" w:hint="eastAsia"/>
          <w:sz w:val="30"/>
          <w:szCs w:val="30"/>
        </w:rPr>
        <w:t>包号：A包</w:t>
      </w:r>
    </w:p>
    <w:p>
      <w:pPr>
        <w:adjustRightInd w:val="0"/>
        <w:spacing w:line="480" w:lineRule="auto"/>
        <w:ind w:firstLine="1680" w:firstLineChars="700"/>
        <w:jc w:val="left"/>
        <w:rPr>
          <w:rFonts w:ascii="宋体" w:hAnsi="宋体" w:cs="宋体" w:hint="eastAsia"/>
          <w:sz w:val="30"/>
          <w:szCs w:val="30"/>
        </w:rPr>
      </w:pPr>
      <w:r>
        <w:rPr>
          <w:rFonts w:ascii="宋体" w:hAnsi="宋体" w:cs="宋体" w:hint="eastAsia"/>
          <w:sz w:val="30"/>
          <w:szCs w:val="30"/>
        </w:rPr>
        <w:t>项目类型：货物类</w:t>
      </w:r>
    </w:p>
    <w:p>
      <w:pPr>
        <w:adjustRightInd w:val="0"/>
        <w:spacing w:line="480" w:lineRule="auto"/>
        <w:ind w:firstLine="1680" w:firstLineChars="700"/>
        <w:jc w:val="left"/>
        <w:rPr>
          <w:rFonts w:ascii="宋体" w:hAnsi="宋体" w:cs="宋体" w:hint="eastAsia"/>
          <w:sz w:val="30"/>
          <w:szCs w:val="30"/>
        </w:rPr>
      </w:pPr>
      <w:r>
        <w:rPr>
          <w:rFonts w:ascii="宋体" w:hAnsi="宋体" w:cs="宋体" w:hint="eastAsia"/>
          <w:sz w:val="30"/>
          <w:szCs w:val="30"/>
        </w:rPr>
        <w:t>采购方式：公开招标</w:t>
      </w:r>
    </w:p>
    <w:p>
      <w:pPr>
        <w:adjustRightInd w:val="0"/>
        <w:spacing w:line="480" w:lineRule="auto"/>
        <w:ind w:firstLine="1680" w:firstLineChars="700"/>
        <w:jc w:val="left"/>
        <w:rPr>
          <w:rFonts w:ascii="宋体" w:hAnsi="宋体" w:cs="宋体" w:hint="eastAsia"/>
          <w:sz w:val="30"/>
          <w:szCs w:val="30"/>
        </w:rPr>
      </w:pPr>
      <w:r>
        <w:rPr>
          <w:rFonts w:ascii="宋体" w:hAnsi="宋体" w:cs="宋体" w:hint="eastAsia"/>
          <w:sz w:val="30"/>
          <w:szCs w:val="30"/>
        </w:rPr>
        <w:t>货币类型：人民币</w:t>
      </w:r>
    </w:p>
    <w:p>
      <w:pPr>
        <w:pStyle w:val="Heading2"/>
        <w:rPr>
          <w:rFonts w:cs="宋体" w:hint="eastAsia"/>
          <w:b w:val="0"/>
          <w:bCs w:val="0"/>
          <w:sz w:val="28"/>
          <w:szCs w:val="21"/>
        </w:rPr>
      </w:pPr>
      <w:r>
        <w:rPr>
          <w:rFonts w:cs="宋体" w:hint="eastAsia"/>
          <w:b w:val="0"/>
          <w:bCs w:val="0"/>
          <w:sz w:val="28"/>
          <w:szCs w:val="21"/>
        </w:rPr>
        <w:t>评标定标信息</w:t>
      </w:r>
    </w:p>
    <w:tbl>
      <w:tblPr>
        <w:tblStyle w:val="TableNorm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Look w:val="0000"/>
      </w:tblPr>
      <w:tblGrid>
        <w:gridCol w:w="1962"/>
        <w:gridCol w:w="6567"/>
      </w:tblGrid>
      <w:tr>
        <w:tblPrEx>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Look w:val="0000"/>
        </w:tblPrEx>
        <w:trPr>
          <w:trHeight w:val="274"/>
        </w:trPr>
        <w:tc>
          <w:tcPr>
            <w:tcW w:w="1962" w:type="dxa"/>
            <w:vAlign w:val="center"/>
          </w:tcPr>
          <w:p>
            <w:pPr>
              <w:spacing w:line="360" w:lineRule="auto"/>
              <w:jc w:val="center"/>
              <w:rPr>
                <w:rFonts w:ascii="宋体" w:hAnsi="宋体" w:cs="宋体" w:hint="eastAsia"/>
              </w:rPr>
            </w:pPr>
            <w:r>
              <w:rPr>
                <w:rFonts w:ascii="宋体" w:hAnsi="宋体" w:cs="宋体" w:hint="eastAsia"/>
              </w:rPr>
              <w:t>评标方法</w:t>
            </w:r>
          </w:p>
        </w:tc>
        <w:tc>
          <w:tcPr>
            <w:tcW w:w="6567" w:type="dxa"/>
            <w:vAlign w:val="center"/>
          </w:tcPr>
          <w:p>
            <w:pPr>
              <w:spacing w:line="360" w:lineRule="auto"/>
              <w:rPr>
                <w:rFonts w:ascii="宋体" w:hAnsi="宋体" w:cs="宋体" w:hint="eastAsia"/>
              </w:rPr>
            </w:pPr>
            <w:r>
              <w:rPr>
                <w:rFonts w:ascii="宋体" w:hAnsi="宋体" w:cs="宋体" w:hint="eastAsia"/>
              </w:rPr>
              <w:t>综合评分法</w:t>
            </w:r>
          </w:p>
        </w:tc>
      </w:tr>
      <w:tr>
        <w:tblPrEx>
          <w:tblW w:w="0" w:type="auto"/>
          <w:tblLayout w:type="fixed"/>
          <w:tblCellMar>
            <w:top w:w="0" w:type="dxa"/>
            <w:left w:w="108" w:type="dxa"/>
            <w:bottom w:w="0" w:type="dxa"/>
            <w:right w:w="108" w:type="dxa"/>
          </w:tblCellMar>
          <w:tblLook w:val="0000"/>
        </w:tblPrEx>
        <w:tc>
          <w:tcPr>
            <w:tcW w:w="1962" w:type="dxa"/>
            <w:vAlign w:val="center"/>
          </w:tcPr>
          <w:p>
            <w:pPr>
              <w:spacing w:line="360" w:lineRule="auto"/>
              <w:jc w:val="center"/>
              <w:rPr>
                <w:rFonts w:ascii="宋体" w:hAnsi="宋体" w:cs="宋体" w:hint="eastAsia"/>
              </w:rPr>
            </w:pPr>
            <w:r>
              <w:rPr>
                <w:rFonts w:ascii="宋体" w:hAnsi="宋体" w:cs="宋体" w:hint="eastAsia"/>
              </w:rPr>
              <w:t>定标方法</w:t>
            </w:r>
          </w:p>
        </w:tc>
        <w:tc>
          <w:tcPr>
            <w:tcW w:w="6567" w:type="dxa"/>
            <w:vAlign w:val="center"/>
          </w:tcPr>
          <w:p>
            <w:pPr>
              <w:spacing w:line="360" w:lineRule="auto"/>
              <w:rPr>
                <w:rFonts w:ascii="宋体" w:hAnsi="宋体" w:cs="宋体" w:hint="eastAsia"/>
              </w:rPr>
            </w:pPr>
            <w:r>
              <w:rPr>
                <w:rFonts w:ascii="宋体" w:hAnsi="宋体" w:cs="宋体" w:hint="eastAsia"/>
              </w:rPr>
              <w:t>采购人根据中标候选人名单按顺序确定</w:t>
            </w:r>
          </w:p>
        </w:tc>
      </w:tr>
      <w:tr>
        <w:tblPrEx>
          <w:tblW w:w="0" w:type="auto"/>
          <w:tblLayout w:type="fixed"/>
          <w:tblCellMar>
            <w:top w:w="0" w:type="dxa"/>
            <w:left w:w="108" w:type="dxa"/>
            <w:bottom w:w="0" w:type="dxa"/>
            <w:right w:w="108" w:type="dxa"/>
          </w:tblCellMar>
          <w:tblLook w:val="0000"/>
        </w:tblPrEx>
        <w:tc>
          <w:tcPr>
            <w:tcW w:w="1962" w:type="dxa"/>
            <w:vAlign w:val="center"/>
          </w:tcPr>
          <w:p>
            <w:pPr>
              <w:spacing w:line="360" w:lineRule="auto"/>
              <w:jc w:val="center"/>
              <w:rPr>
                <w:rFonts w:ascii="宋体" w:hAnsi="宋体" w:cs="宋体" w:hint="eastAsia"/>
              </w:rPr>
            </w:pPr>
            <w:r>
              <w:rPr>
                <w:rFonts w:ascii="宋体" w:hAnsi="宋体" w:cs="宋体" w:hint="eastAsia"/>
              </w:rPr>
              <w:t>评审委员会推荐中标候选人数量</w:t>
            </w:r>
          </w:p>
        </w:tc>
        <w:tc>
          <w:tcPr>
            <w:tcW w:w="6567" w:type="dxa"/>
            <w:vAlign w:val="center"/>
          </w:tcPr>
          <w:p>
            <w:pPr>
              <w:spacing w:line="360" w:lineRule="auto"/>
              <w:rPr>
                <w:rFonts w:ascii="宋体" w:hAnsi="宋体" w:cs="宋体" w:hint="eastAsia"/>
              </w:rPr>
            </w:pPr>
            <w:r>
              <w:rPr>
                <w:rFonts w:ascii="宋体" w:hAnsi="宋体" w:cs="宋体" w:hint="eastAsia"/>
                <w:lang w:val="en-US" w:eastAsia="zh-CN"/>
              </w:rPr>
              <w:t>1</w:t>
            </w:r>
            <w:r>
              <w:rPr>
                <w:rFonts w:ascii="宋体" w:hAnsi="宋体" w:cs="宋体" w:hint="eastAsia"/>
              </w:rPr>
              <w:t>名（推荐中标候选人时，投标人综合得分相同的，有效投标报价较低者优先推荐，综合得分和有效投标报价均相同的按技术得分较高者优先推荐，综合得分和有效投标报价相同且技术、商务得分均相同的由评审委员会抽签进行优先推荐）</w:t>
            </w:r>
          </w:p>
        </w:tc>
      </w:tr>
      <w:tr>
        <w:tblPrEx>
          <w:tblW w:w="0" w:type="auto"/>
          <w:tblLayout w:type="fixed"/>
          <w:tblCellMar>
            <w:top w:w="0" w:type="dxa"/>
            <w:left w:w="108" w:type="dxa"/>
            <w:bottom w:w="0" w:type="dxa"/>
            <w:right w:w="108" w:type="dxa"/>
          </w:tblCellMar>
          <w:tblLook w:val="0000"/>
        </w:tblPrEx>
        <w:tc>
          <w:tcPr>
            <w:tcW w:w="1962" w:type="dxa"/>
            <w:vAlign w:val="center"/>
          </w:tcPr>
          <w:p>
            <w:pPr>
              <w:spacing w:line="360" w:lineRule="auto"/>
              <w:jc w:val="center"/>
              <w:rPr>
                <w:rFonts w:ascii="宋体" w:hAnsi="宋体" w:cs="宋体" w:hint="eastAsia"/>
              </w:rPr>
            </w:pPr>
            <w:r>
              <w:rPr>
                <w:rFonts w:ascii="宋体" w:hAnsi="宋体" w:cs="宋体" w:hint="eastAsia"/>
              </w:rPr>
              <w:t>中标人数量</w:t>
            </w:r>
          </w:p>
        </w:tc>
        <w:tc>
          <w:tcPr>
            <w:tcW w:w="6567" w:type="dxa"/>
            <w:vAlign w:val="center"/>
          </w:tcPr>
          <w:p>
            <w:pPr>
              <w:spacing w:line="360" w:lineRule="auto"/>
              <w:rPr>
                <w:rFonts w:ascii="宋体" w:hAnsi="宋体" w:cs="宋体" w:hint="eastAsia"/>
              </w:rPr>
            </w:pPr>
            <w:r>
              <w:rPr>
                <w:rFonts w:ascii="宋体" w:hAnsi="宋体" w:cs="宋体" w:hint="eastAsia"/>
              </w:rPr>
              <w:t>1名</w:t>
            </w:r>
          </w:p>
        </w:tc>
      </w:tr>
    </w:tbl>
    <w:p>
      <w:pPr>
        <w:pStyle w:val="Heading2"/>
        <w:rPr>
          <w:rFonts w:cs="宋体" w:hint="eastAsia"/>
          <w:sz w:val="28"/>
          <w:szCs w:val="21"/>
        </w:rPr>
      </w:pPr>
      <w:r>
        <w:rPr>
          <w:rFonts w:cs="宋体" w:hint="eastAsia"/>
          <w:sz w:val="28"/>
          <w:szCs w:val="21"/>
        </w:rPr>
        <w:br w:type="page"/>
      </w:r>
      <w:r>
        <w:rPr>
          <w:rFonts w:cs="宋体" w:hint="eastAsia"/>
          <w:sz w:val="28"/>
          <w:szCs w:val="21"/>
        </w:rPr>
        <w:t>投标文件初审表</w:t>
      </w:r>
    </w:p>
    <w:p>
      <w:pPr>
        <w:jc w:val="center"/>
        <w:rPr>
          <w:rFonts w:ascii="宋体" w:hAnsi="宋体" w:cs="宋体" w:hint="eastAsia"/>
          <w:b/>
        </w:rPr>
      </w:pPr>
      <w:r>
        <w:rPr>
          <w:rFonts w:ascii="宋体" w:hAnsi="宋体" w:cs="宋体" w:hint="eastAsia"/>
          <w:b/>
        </w:rPr>
        <w:t>（凡有下列情形之一的，</w:t>
      </w:r>
      <w:r>
        <w:rPr>
          <w:rFonts w:ascii="宋体" w:hAnsi="宋体" w:cs="宋体" w:hint="eastAsia"/>
          <w:b/>
          <w:color w:val="FF0000"/>
        </w:rPr>
        <w:t>初审不通过，投标无效</w:t>
      </w:r>
      <w:r>
        <w:rPr>
          <w:rFonts w:ascii="宋体" w:hAnsi="宋体" w:cs="宋体" w:hint="eastAsia"/>
          <w:b/>
        </w:rPr>
        <w:t>）</w:t>
      </w:r>
    </w:p>
    <w:tbl>
      <w:tblPr>
        <w:tblStyle w:val="TableNorm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Look w:val="0000"/>
      </w:tblPr>
      <w:tblGrid>
        <w:gridCol w:w="511"/>
        <w:gridCol w:w="8018"/>
      </w:tblGrid>
      <w:tr>
        <w:tblPrEx>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Look w:val="0000"/>
        </w:tblPrEx>
        <w:tc>
          <w:tcPr>
            <w:tcW w:w="8529" w:type="dxa"/>
            <w:gridSpan w:val="2"/>
            <w:vAlign w:val="center"/>
          </w:tcPr>
          <w:p>
            <w:pPr>
              <w:jc w:val="center"/>
              <w:rPr>
                <w:rFonts w:ascii="宋体" w:hAnsi="宋体" w:cs="宋体" w:hint="eastAsia"/>
              </w:rPr>
            </w:pPr>
            <w:r>
              <w:rPr>
                <w:rFonts w:ascii="宋体" w:hAnsi="宋体" w:cs="宋体" w:hint="eastAsia"/>
                <w:b/>
                <w:bCs/>
              </w:rPr>
              <w:t>资格性检查表</w:t>
            </w:r>
          </w:p>
        </w:tc>
      </w:tr>
      <w:tr>
        <w:tblPrEx>
          <w:tblW w:w="0" w:type="auto"/>
          <w:tblLayout w:type="fixed"/>
          <w:tblCellMar>
            <w:top w:w="0" w:type="dxa"/>
            <w:left w:w="108" w:type="dxa"/>
            <w:bottom w:w="0" w:type="dxa"/>
            <w:right w:w="108" w:type="dxa"/>
          </w:tblCellMar>
          <w:tblLook w:val="0000"/>
        </w:tblPrEx>
        <w:tc>
          <w:tcPr>
            <w:tcW w:w="511" w:type="dxa"/>
            <w:vAlign w:val="center"/>
          </w:tcPr>
          <w:p>
            <w:pPr>
              <w:jc w:val="center"/>
              <w:rPr>
                <w:rFonts w:ascii="宋体" w:hAnsi="宋体" w:cs="宋体" w:hint="eastAsia"/>
              </w:rPr>
            </w:pPr>
            <w:r>
              <w:rPr>
                <w:rFonts w:ascii="宋体" w:hAnsi="宋体" w:cs="宋体" w:hint="eastAsia"/>
              </w:rPr>
              <w:t>1</w:t>
            </w:r>
          </w:p>
        </w:tc>
        <w:tc>
          <w:tcPr>
            <w:tcW w:w="8018" w:type="dxa"/>
            <w:vAlign w:val="center"/>
          </w:tcPr>
          <w:p>
            <w:pPr>
              <w:spacing w:line="360" w:lineRule="auto"/>
              <w:rPr>
                <w:rFonts w:ascii="宋体" w:hAnsi="宋体" w:cs="宋体" w:hint="eastAsia"/>
              </w:rPr>
            </w:pPr>
            <w:r>
              <w:rPr>
                <w:rFonts w:ascii="宋体" w:hAnsi="宋体" w:cs="宋体" w:hint="eastAsia"/>
                <w:szCs w:val="21"/>
              </w:rPr>
              <w:t>投标人不具备招标文件所列的资格要求，或未提交相应的资格证明资料（详见招标公告申请人的资格要求）；</w:t>
            </w:r>
          </w:p>
        </w:tc>
      </w:tr>
      <w:tr>
        <w:tblPrEx>
          <w:tblW w:w="0" w:type="auto"/>
          <w:tblLayout w:type="fixed"/>
          <w:tblCellMar>
            <w:top w:w="0" w:type="dxa"/>
            <w:left w:w="108" w:type="dxa"/>
            <w:bottom w:w="0" w:type="dxa"/>
            <w:right w:w="108" w:type="dxa"/>
          </w:tblCellMar>
          <w:tblLook w:val="0000"/>
        </w:tblPrEx>
        <w:tc>
          <w:tcPr>
            <w:tcW w:w="8529" w:type="dxa"/>
            <w:gridSpan w:val="2"/>
            <w:vAlign w:val="center"/>
          </w:tcPr>
          <w:p>
            <w:pPr>
              <w:spacing w:line="360" w:lineRule="auto"/>
              <w:jc w:val="center"/>
              <w:rPr>
                <w:rFonts w:ascii="宋体" w:hAnsi="宋体" w:cs="宋体" w:hint="eastAsia"/>
              </w:rPr>
            </w:pPr>
            <w:r>
              <w:rPr>
                <w:rFonts w:ascii="宋体" w:hAnsi="宋体" w:cs="宋体" w:hint="eastAsia"/>
                <w:b/>
                <w:bCs/>
              </w:rPr>
              <w:t>符合性检查表</w:t>
            </w:r>
          </w:p>
        </w:tc>
      </w:tr>
      <w:tr>
        <w:tblPrEx>
          <w:tblW w:w="0" w:type="auto"/>
          <w:tblLayout w:type="fixed"/>
          <w:tblCellMar>
            <w:top w:w="0" w:type="dxa"/>
            <w:left w:w="108" w:type="dxa"/>
            <w:bottom w:w="0" w:type="dxa"/>
            <w:right w:w="108" w:type="dxa"/>
          </w:tblCellMar>
          <w:tblLook w:val="0000"/>
        </w:tblPrEx>
        <w:trPr>
          <w:trHeight w:val="90"/>
        </w:trPr>
        <w:tc>
          <w:tcPr>
            <w:tcW w:w="511" w:type="dxa"/>
            <w:vAlign w:val="center"/>
          </w:tcPr>
          <w:p>
            <w:pPr>
              <w:jc w:val="center"/>
              <w:rPr>
                <w:rFonts w:ascii="宋体" w:hAnsi="宋体" w:cs="宋体" w:hint="eastAsia"/>
              </w:rPr>
            </w:pPr>
            <w:r>
              <w:rPr>
                <w:rFonts w:ascii="宋体" w:hAnsi="宋体" w:cs="宋体" w:hint="eastAsia"/>
              </w:rPr>
              <w:t>1</w:t>
            </w:r>
          </w:p>
        </w:tc>
        <w:tc>
          <w:tcPr>
            <w:tcW w:w="8018" w:type="dxa"/>
            <w:vAlign w:val="center"/>
          </w:tcPr>
          <w:p>
            <w:pPr>
              <w:spacing w:line="360" w:lineRule="auto"/>
              <w:jc w:val="left"/>
              <w:rPr>
                <w:rFonts w:ascii="宋体" w:hAnsi="宋体" w:cs="宋体" w:hint="eastAsia"/>
              </w:rPr>
            </w:pPr>
            <w:r>
              <w:rPr>
                <w:rFonts w:ascii="宋体" w:hAnsi="宋体" w:cs="宋体" w:hint="eastAsia"/>
              </w:rPr>
              <w:t>将一个包或一个标段的内容拆开投标；</w:t>
            </w:r>
          </w:p>
        </w:tc>
      </w:tr>
      <w:tr>
        <w:tblPrEx>
          <w:tblW w:w="0" w:type="auto"/>
          <w:tblLayout w:type="fixed"/>
          <w:tblCellMar>
            <w:top w:w="0" w:type="dxa"/>
            <w:left w:w="108" w:type="dxa"/>
            <w:bottom w:w="0" w:type="dxa"/>
            <w:right w:w="108" w:type="dxa"/>
          </w:tblCellMar>
          <w:tblLook w:val="0000"/>
        </w:tblPrEx>
        <w:tc>
          <w:tcPr>
            <w:tcW w:w="511" w:type="dxa"/>
            <w:vAlign w:val="center"/>
          </w:tcPr>
          <w:p>
            <w:pPr>
              <w:jc w:val="center"/>
              <w:rPr>
                <w:rFonts w:ascii="宋体" w:hAnsi="宋体" w:cs="宋体" w:hint="eastAsia"/>
              </w:rPr>
            </w:pPr>
            <w:r>
              <w:rPr>
                <w:rFonts w:ascii="宋体" w:hAnsi="宋体" w:cs="宋体" w:hint="eastAsia"/>
              </w:rPr>
              <w:t>2</w:t>
            </w:r>
          </w:p>
        </w:tc>
        <w:tc>
          <w:tcPr>
            <w:tcW w:w="8018" w:type="dxa"/>
            <w:vAlign w:val="center"/>
          </w:tcPr>
          <w:p>
            <w:pPr>
              <w:spacing w:line="360" w:lineRule="auto"/>
              <w:jc w:val="left"/>
              <w:rPr>
                <w:rFonts w:ascii="宋体" w:hAnsi="宋体" w:cs="宋体" w:hint="eastAsia"/>
              </w:rPr>
            </w:pPr>
            <w:r>
              <w:rPr>
                <w:rFonts w:ascii="宋体" w:hAnsi="宋体" w:cs="宋体" w:hint="eastAsia"/>
              </w:rPr>
              <w:t>对同一项目投标时，提供两套以上的投标方案（招标文件另有规定的除外）；</w:t>
            </w:r>
          </w:p>
        </w:tc>
      </w:tr>
      <w:tr>
        <w:tblPrEx>
          <w:tblW w:w="0" w:type="auto"/>
          <w:tblLayout w:type="fixed"/>
          <w:tblCellMar>
            <w:top w:w="0" w:type="dxa"/>
            <w:left w:w="108" w:type="dxa"/>
            <w:bottom w:w="0" w:type="dxa"/>
            <w:right w:w="108" w:type="dxa"/>
          </w:tblCellMar>
          <w:tblLook w:val="0000"/>
        </w:tblPrEx>
        <w:tc>
          <w:tcPr>
            <w:tcW w:w="511" w:type="dxa"/>
            <w:vAlign w:val="center"/>
          </w:tcPr>
          <w:p>
            <w:pPr>
              <w:jc w:val="center"/>
              <w:rPr>
                <w:rFonts w:ascii="宋体" w:hAnsi="宋体" w:cs="宋体" w:hint="eastAsia"/>
              </w:rPr>
            </w:pPr>
            <w:r>
              <w:rPr>
                <w:rFonts w:ascii="宋体" w:hAnsi="宋体" w:cs="宋体" w:hint="eastAsia"/>
              </w:rPr>
              <w:t>3</w:t>
            </w:r>
          </w:p>
        </w:tc>
        <w:tc>
          <w:tcPr>
            <w:tcW w:w="8018" w:type="dxa"/>
            <w:vAlign w:val="center"/>
          </w:tcPr>
          <w:p>
            <w:pPr>
              <w:spacing w:line="360" w:lineRule="auto"/>
              <w:jc w:val="left"/>
              <w:rPr>
                <w:rFonts w:ascii="宋体" w:hAnsi="宋体" w:cs="宋体" w:hint="eastAsia"/>
              </w:rPr>
            </w:pPr>
            <w:r>
              <w:rPr>
                <w:rFonts w:hint="eastAsia"/>
              </w:rPr>
              <w:t>分项报价或投标总价高于相应财政预算金额（或设定的财政预算金额下的最高限价）</w:t>
            </w:r>
            <w:r>
              <w:rPr>
                <w:rFonts w:hint="eastAsia"/>
                <w:szCs w:val="21"/>
              </w:rPr>
              <w:t>；</w:t>
            </w:r>
          </w:p>
        </w:tc>
      </w:tr>
      <w:tr>
        <w:tblPrEx>
          <w:tblW w:w="0" w:type="auto"/>
          <w:tblLayout w:type="fixed"/>
          <w:tblCellMar>
            <w:top w:w="0" w:type="dxa"/>
            <w:left w:w="108" w:type="dxa"/>
            <w:bottom w:w="0" w:type="dxa"/>
            <w:right w:w="108" w:type="dxa"/>
          </w:tblCellMar>
          <w:tblLook w:val="0000"/>
        </w:tblPrEx>
        <w:tc>
          <w:tcPr>
            <w:tcW w:w="511" w:type="dxa"/>
            <w:vAlign w:val="center"/>
          </w:tcPr>
          <w:p>
            <w:pPr>
              <w:jc w:val="center"/>
              <w:rPr>
                <w:rFonts w:ascii="宋体" w:hAnsi="宋体" w:cs="宋体" w:hint="eastAsia"/>
              </w:rPr>
            </w:pPr>
            <w:r>
              <w:rPr>
                <w:rFonts w:ascii="宋体" w:hAnsi="宋体" w:cs="宋体" w:hint="eastAsia"/>
              </w:rPr>
              <w:t>4</w:t>
            </w:r>
          </w:p>
        </w:tc>
        <w:tc>
          <w:tcPr>
            <w:tcW w:w="8018" w:type="dxa"/>
            <w:vAlign w:val="center"/>
          </w:tcPr>
          <w:p>
            <w:pPr>
              <w:spacing w:line="360" w:lineRule="auto"/>
              <w:jc w:val="left"/>
              <w:rPr>
                <w:rFonts w:ascii="宋体" w:hAnsi="宋体" w:cs="宋体" w:hint="eastAsia"/>
              </w:rPr>
            </w:pPr>
            <w:r>
              <w:rPr>
                <w:rFonts w:ascii="宋体" w:hAnsi="宋体" w:cs="宋体" w:hint="eastAsia"/>
              </w:rPr>
              <w:t>同一项目出现两个及以上报价，且按规定无法确定哪个是有效报价；</w:t>
            </w:r>
          </w:p>
        </w:tc>
      </w:tr>
      <w:tr>
        <w:tblPrEx>
          <w:tblW w:w="0" w:type="auto"/>
          <w:tblLayout w:type="fixed"/>
          <w:tblCellMar>
            <w:top w:w="0" w:type="dxa"/>
            <w:left w:w="108" w:type="dxa"/>
            <w:bottom w:w="0" w:type="dxa"/>
            <w:right w:w="108" w:type="dxa"/>
          </w:tblCellMar>
          <w:tblLook w:val="0000"/>
        </w:tblPrEx>
        <w:tc>
          <w:tcPr>
            <w:tcW w:w="511" w:type="dxa"/>
            <w:vAlign w:val="center"/>
          </w:tcPr>
          <w:p>
            <w:pPr>
              <w:jc w:val="center"/>
              <w:rPr>
                <w:rFonts w:ascii="宋体" w:hAnsi="宋体" w:cs="宋体" w:hint="eastAsia"/>
              </w:rPr>
            </w:pPr>
            <w:r>
              <w:rPr>
                <w:rFonts w:ascii="宋体" w:hAnsi="宋体" w:cs="宋体" w:hint="eastAsia"/>
              </w:rPr>
              <w:t>5</w:t>
            </w:r>
          </w:p>
        </w:tc>
        <w:tc>
          <w:tcPr>
            <w:tcW w:w="8018" w:type="dxa"/>
            <w:vAlign w:val="center"/>
          </w:tcPr>
          <w:p>
            <w:pPr>
              <w:spacing w:line="360" w:lineRule="auto"/>
              <w:jc w:val="left"/>
              <w:rPr>
                <w:rFonts w:ascii="宋体" w:hAnsi="宋体" w:cs="宋体" w:hint="eastAsia"/>
              </w:rPr>
            </w:pPr>
            <w:r>
              <w:rPr>
                <w:rFonts w:hint="eastAsia"/>
                <w:szCs w:val="21"/>
              </w:rPr>
              <w:t>评标委员会认为投标人的报价明显低于其他通过符合性审查投标人的报价，有可能影响产品质量或者不能诚信履约的，投标人不能在合理的时间内提供书面说明，或无法提交相关证明材料，投标人不能证明其报价合理性的（若评审委员会成员对是否须由投标人作出报价合理性说明，以及书面说明是否采纳等判断不一致的，按照“少数服从多数”的原则确定评审委员会的意见）；</w:t>
            </w:r>
            <w:r>
              <w:rPr>
                <w:rFonts w:ascii="宋体" w:hAnsi="宋体" w:hint="eastAsia"/>
                <w:szCs w:val="21"/>
              </w:rPr>
              <w:t>报价合理性说明的方式，包括但不限于现场提交、电邮提交、传真提交；</w:t>
            </w:r>
          </w:p>
        </w:tc>
      </w:tr>
      <w:tr>
        <w:tblPrEx>
          <w:tblW w:w="0" w:type="auto"/>
          <w:tblLayout w:type="fixed"/>
          <w:tblCellMar>
            <w:top w:w="0" w:type="dxa"/>
            <w:left w:w="108" w:type="dxa"/>
            <w:bottom w:w="0" w:type="dxa"/>
            <w:right w:w="108" w:type="dxa"/>
          </w:tblCellMar>
          <w:tblLook w:val="0000"/>
        </w:tblPrEx>
        <w:tc>
          <w:tcPr>
            <w:tcW w:w="511" w:type="dxa"/>
            <w:vAlign w:val="center"/>
          </w:tcPr>
          <w:p>
            <w:pPr>
              <w:jc w:val="center"/>
              <w:rPr>
                <w:rFonts w:ascii="宋体" w:hAnsi="宋体" w:cs="宋体" w:hint="eastAsia"/>
              </w:rPr>
            </w:pPr>
            <w:r>
              <w:rPr>
                <w:rFonts w:ascii="宋体" w:hAnsi="宋体" w:cs="宋体" w:hint="eastAsia"/>
              </w:rPr>
              <w:t>6</w:t>
            </w:r>
          </w:p>
        </w:tc>
        <w:tc>
          <w:tcPr>
            <w:tcW w:w="8018" w:type="dxa"/>
            <w:vAlign w:val="center"/>
          </w:tcPr>
          <w:p>
            <w:pPr>
              <w:spacing w:line="360" w:lineRule="auto"/>
              <w:jc w:val="left"/>
              <w:rPr>
                <w:rFonts w:ascii="宋体" w:hAnsi="宋体" w:cs="宋体" w:hint="eastAsia"/>
              </w:rPr>
            </w:pPr>
            <w:r>
              <w:rPr>
                <w:rFonts w:ascii="宋体" w:hAnsi="宋体" w:cs="宋体" w:hint="eastAsia"/>
              </w:rPr>
              <w:t>投标报价有严重缺漏项目；</w:t>
            </w:r>
          </w:p>
        </w:tc>
      </w:tr>
      <w:tr>
        <w:tblPrEx>
          <w:tblW w:w="0" w:type="auto"/>
          <w:tblLayout w:type="fixed"/>
          <w:tblCellMar>
            <w:top w:w="0" w:type="dxa"/>
            <w:left w:w="108" w:type="dxa"/>
            <w:bottom w:w="0" w:type="dxa"/>
            <w:right w:w="108" w:type="dxa"/>
          </w:tblCellMar>
          <w:tblLook w:val="0000"/>
        </w:tblPrEx>
        <w:tc>
          <w:tcPr>
            <w:tcW w:w="511" w:type="dxa"/>
            <w:vAlign w:val="center"/>
          </w:tcPr>
          <w:p>
            <w:pPr>
              <w:jc w:val="center"/>
              <w:rPr>
                <w:rFonts w:ascii="宋体" w:hAnsi="宋体" w:cs="宋体" w:hint="eastAsia"/>
              </w:rPr>
            </w:pPr>
            <w:r>
              <w:rPr>
                <w:rFonts w:ascii="宋体" w:hAnsi="宋体" w:cs="宋体" w:hint="eastAsia"/>
              </w:rPr>
              <w:t>7</w:t>
            </w:r>
          </w:p>
        </w:tc>
        <w:tc>
          <w:tcPr>
            <w:tcW w:w="8018" w:type="dxa"/>
            <w:vAlign w:val="center"/>
          </w:tcPr>
          <w:p>
            <w:pPr>
              <w:spacing w:line="360" w:lineRule="auto"/>
              <w:jc w:val="left"/>
              <w:rPr>
                <w:rFonts w:ascii="宋体" w:hAnsi="宋体" w:cs="宋体" w:hint="eastAsia"/>
              </w:rPr>
            </w:pPr>
            <w:r>
              <w:rPr>
                <w:rFonts w:ascii="宋体" w:hAnsi="宋体" w:cs="宋体" w:hint="eastAsia"/>
              </w:rPr>
              <w:t>投标文件载明的交货期限超过招标文件规定的期限；</w:t>
            </w:r>
          </w:p>
        </w:tc>
      </w:tr>
      <w:tr>
        <w:tblPrEx>
          <w:tblW w:w="0" w:type="auto"/>
          <w:tblLayout w:type="fixed"/>
          <w:tblCellMar>
            <w:top w:w="0" w:type="dxa"/>
            <w:left w:w="108" w:type="dxa"/>
            <w:bottom w:w="0" w:type="dxa"/>
            <w:right w:w="108" w:type="dxa"/>
          </w:tblCellMar>
          <w:tblLook w:val="0000"/>
        </w:tblPrEx>
        <w:tc>
          <w:tcPr>
            <w:tcW w:w="511" w:type="dxa"/>
            <w:vAlign w:val="center"/>
          </w:tcPr>
          <w:p>
            <w:pPr>
              <w:jc w:val="center"/>
              <w:rPr>
                <w:rFonts w:ascii="宋体" w:hAnsi="宋体" w:cs="宋体" w:hint="eastAsia"/>
              </w:rPr>
            </w:pPr>
            <w:r>
              <w:rPr>
                <w:rFonts w:ascii="宋体" w:hAnsi="宋体" w:cs="宋体" w:hint="eastAsia"/>
              </w:rPr>
              <w:t>8</w:t>
            </w:r>
          </w:p>
        </w:tc>
        <w:tc>
          <w:tcPr>
            <w:tcW w:w="8018" w:type="dxa"/>
            <w:vAlign w:val="center"/>
          </w:tcPr>
          <w:p>
            <w:pPr>
              <w:spacing w:line="360" w:lineRule="auto"/>
              <w:jc w:val="left"/>
              <w:rPr>
                <w:rFonts w:ascii="宋体" w:hAnsi="宋体" w:cs="宋体" w:hint="eastAsia"/>
              </w:rPr>
            </w:pPr>
            <w:r>
              <w:rPr>
                <w:rFonts w:ascii="宋体" w:hAnsi="宋体" w:cs="宋体" w:hint="eastAsia"/>
              </w:rPr>
              <w:t>投标文件载明的免费保修期低于招标文件规定的期限；</w:t>
            </w:r>
          </w:p>
        </w:tc>
      </w:tr>
      <w:tr>
        <w:tblPrEx>
          <w:tblW w:w="0" w:type="auto"/>
          <w:tblLayout w:type="fixed"/>
          <w:tblCellMar>
            <w:top w:w="0" w:type="dxa"/>
            <w:left w:w="108" w:type="dxa"/>
            <w:bottom w:w="0" w:type="dxa"/>
            <w:right w:w="108" w:type="dxa"/>
          </w:tblCellMar>
          <w:tblLook w:val="0000"/>
        </w:tblPrEx>
        <w:tc>
          <w:tcPr>
            <w:tcW w:w="511" w:type="dxa"/>
            <w:vAlign w:val="center"/>
          </w:tcPr>
          <w:p>
            <w:pPr>
              <w:jc w:val="center"/>
              <w:rPr>
                <w:rFonts w:ascii="宋体" w:hAnsi="宋体" w:cs="宋体" w:hint="eastAsia"/>
              </w:rPr>
            </w:pPr>
            <w:r>
              <w:rPr>
                <w:rFonts w:ascii="宋体" w:hAnsi="宋体" w:cs="宋体" w:hint="eastAsia"/>
              </w:rPr>
              <w:t>9</w:t>
            </w:r>
          </w:p>
        </w:tc>
        <w:tc>
          <w:tcPr>
            <w:tcW w:w="8018" w:type="dxa"/>
            <w:vAlign w:val="center"/>
          </w:tcPr>
          <w:p>
            <w:pPr>
              <w:spacing w:line="360" w:lineRule="auto"/>
              <w:jc w:val="left"/>
              <w:rPr>
                <w:rFonts w:ascii="宋体" w:hAnsi="宋体" w:cs="宋体" w:hint="eastAsia"/>
              </w:rPr>
            </w:pPr>
            <w:r>
              <w:rPr>
                <w:rFonts w:ascii="宋体" w:hAnsi="宋体" w:cs="宋体" w:hint="eastAsia"/>
              </w:rPr>
              <w:t>所投产品或服务在商务、技术等方面没有实质性满足招标文件要求的（招标文件标注★的均为实质性条款）；</w:t>
            </w:r>
          </w:p>
        </w:tc>
      </w:tr>
      <w:tr>
        <w:tblPrEx>
          <w:tblW w:w="0" w:type="auto"/>
          <w:tblLayout w:type="fixed"/>
          <w:tblCellMar>
            <w:top w:w="0" w:type="dxa"/>
            <w:left w:w="108" w:type="dxa"/>
            <w:bottom w:w="0" w:type="dxa"/>
            <w:right w:w="108" w:type="dxa"/>
          </w:tblCellMar>
          <w:tblLook w:val="0000"/>
        </w:tblPrEx>
        <w:tc>
          <w:tcPr>
            <w:tcW w:w="511" w:type="dxa"/>
            <w:vAlign w:val="center"/>
          </w:tcPr>
          <w:p>
            <w:pPr>
              <w:jc w:val="center"/>
              <w:rPr>
                <w:rFonts w:ascii="宋体" w:hAnsi="宋体" w:cs="宋体" w:hint="eastAsia"/>
              </w:rPr>
            </w:pPr>
            <w:r>
              <w:rPr>
                <w:rFonts w:ascii="宋体" w:hAnsi="宋体" w:cs="宋体" w:hint="eastAsia"/>
              </w:rPr>
              <w:t>10</w:t>
            </w:r>
          </w:p>
        </w:tc>
        <w:tc>
          <w:tcPr>
            <w:tcW w:w="8018" w:type="dxa"/>
            <w:vAlign w:val="center"/>
          </w:tcPr>
          <w:p>
            <w:pPr>
              <w:spacing w:line="360" w:lineRule="auto"/>
              <w:jc w:val="left"/>
              <w:rPr>
                <w:rFonts w:ascii="宋体" w:hAnsi="宋体" w:cs="宋体" w:hint="eastAsia"/>
              </w:rPr>
            </w:pPr>
            <w:r>
              <w:rPr>
                <w:rFonts w:ascii="宋体" w:hAnsi="宋体" w:cs="宋体" w:hint="eastAsia"/>
              </w:rPr>
              <w:t>未按招标文件所提供的样式填写《投标函》；未按招标文件所提供的</w:t>
            </w:r>
            <w:r>
              <w:rPr>
                <w:rFonts w:ascii="宋体" w:hAnsi="宋体" w:cs="宋体" w:hint="eastAsia"/>
                <w:szCs w:val="21"/>
              </w:rPr>
              <w:t>《政府采购投标及履约承诺函</w:t>
            </w:r>
            <w:r>
              <w:rPr>
                <w:rFonts w:ascii="宋体" w:hAnsi="宋体" w:cs="宋体" w:hint="eastAsia"/>
              </w:rPr>
              <w:t>》进行承诺；未按招标文件对投标文件组成的要求提供投标文件的（投标文件组成不完整）；</w:t>
            </w:r>
          </w:p>
        </w:tc>
      </w:tr>
      <w:tr>
        <w:tblPrEx>
          <w:tblW w:w="0" w:type="auto"/>
          <w:tblLayout w:type="fixed"/>
          <w:tblCellMar>
            <w:top w:w="0" w:type="dxa"/>
            <w:left w:w="108" w:type="dxa"/>
            <w:bottom w:w="0" w:type="dxa"/>
            <w:right w:w="108" w:type="dxa"/>
          </w:tblCellMar>
          <w:tblLook w:val="0000"/>
        </w:tblPrEx>
        <w:tc>
          <w:tcPr>
            <w:tcW w:w="511" w:type="dxa"/>
            <w:vAlign w:val="center"/>
          </w:tcPr>
          <w:p>
            <w:pPr>
              <w:jc w:val="center"/>
              <w:rPr>
                <w:rFonts w:ascii="宋体" w:hAnsi="宋体" w:cs="宋体" w:hint="eastAsia"/>
              </w:rPr>
            </w:pPr>
            <w:r>
              <w:rPr>
                <w:rFonts w:ascii="宋体" w:hAnsi="宋体" w:cs="宋体" w:hint="eastAsia"/>
              </w:rPr>
              <w:t>11</w:t>
            </w:r>
          </w:p>
        </w:tc>
        <w:tc>
          <w:tcPr>
            <w:tcW w:w="8018" w:type="dxa"/>
            <w:vAlign w:val="center"/>
          </w:tcPr>
          <w:p>
            <w:pPr>
              <w:spacing w:line="360" w:lineRule="auto"/>
              <w:jc w:val="left"/>
              <w:rPr>
                <w:rFonts w:ascii="宋体" w:hAnsi="宋体" w:cs="宋体" w:hint="eastAsia"/>
              </w:rPr>
            </w:pPr>
            <w:r>
              <w:rPr>
                <w:rFonts w:ascii="宋体" w:hAnsi="宋体" w:cs="宋体" w:hint="eastAsia"/>
                <w:szCs w:val="21"/>
              </w:rPr>
              <w:t>未提供技术规格偏离表和商务条款偏离表；</w:t>
            </w:r>
          </w:p>
        </w:tc>
      </w:tr>
      <w:tr>
        <w:tblPrEx>
          <w:tblW w:w="0" w:type="auto"/>
          <w:tblLayout w:type="fixed"/>
          <w:tblCellMar>
            <w:top w:w="0" w:type="dxa"/>
            <w:left w:w="108" w:type="dxa"/>
            <w:bottom w:w="0" w:type="dxa"/>
            <w:right w:w="108" w:type="dxa"/>
          </w:tblCellMar>
          <w:tblLook w:val="0000"/>
        </w:tblPrEx>
        <w:trPr>
          <w:trHeight w:val="232"/>
        </w:trPr>
        <w:tc>
          <w:tcPr>
            <w:tcW w:w="511" w:type="dxa"/>
            <w:vAlign w:val="center"/>
          </w:tcPr>
          <w:p>
            <w:pPr>
              <w:jc w:val="center"/>
              <w:rPr>
                <w:rFonts w:ascii="宋体" w:hAnsi="宋体" w:cs="宋体" w:hint="eastAsia"/>
              </w:rPr>
            </w:pPr>
            <w:r>
              <w:rPr>
                <w:rFonts w:ascii="宋体" w:hAnsi="宋体" w:cs="宋体" w:hint="eastAsia"/>
              </w:rPr>
              <w:t>12</w:t>
            </w:r>
          </w:p>
        </w:tc>
        <w:tc>
          <w:tcPr>
            <w:tcW w:w="8018" w:type="dxa"/>
            <w:vAlign w:val="center"/>
          </w:tcPr>
          <w:p>
            <w:pPr>
              <w:spacing w:line="360" w:lineRule="auto"/>
              <w:jc w:val="left"/>
              <w:rPr>
                <w:rFonts w:ascii="宋体" w:hAnsi="宋体" w:cs="宋体" w:hint="eastAsia"/>
              </w:rPr>
            </w:pPr>
            <w:r>
              <w:rPr>
                <w:rFonts w:ascii="宋体" w:hAnsi="宋体" w:cs="宋体" w:hint="eastAsia"/>
              </w:rPr>
              <w:t>投标文件存在规避信息公开情形的；</w:t>
            </w:r>
          </w:p>
        </w:tc>
      </w:tr>
      <w:tr>
        <w:tblPrEx>
          <w:tblW w:w="0" w:type="auto"/>
          <w:tblLayout w:type="fixed"/>
          <w:tblCellMar>
            <w:top w:w="0" w:type="dxa"/>
            <w:left w:w="108" w:type="dxa"/>
            <w:bottom w:w="0" w:type="dxa"/>
            <w:right w:w="108" w:type="dxa"/>
          </w:tblCellMar>
          <w:tblLook w:val="0000"/>
        </w:tblPrEx>
        <w:tc>
          <w:tcPr>
            <w:tcW w:w="511" w:type="dxa"/>
            <w:vAlign w:val="center"/>
          </w:tcPr>
          <w:p>
            <w:pPr>
              <w:jc w:val="center"/>
              <w:rPr>
                <w:rFonts w:ascii="宋体" w:hAnsi="宋体" w:cs="宋体" w:hint="eastAsia"/>
              </w:rPr>
            </w:pPr>
            <w:r>
              <w:rPr>
                <w:rFonts w:ascii="宋体" w:hAnsi="宋体" w:cs="宋体" w:hint="eastAsia"/>
              </w:rPr>
              <w:t>13</w:t>
            </w:r>
          </w:p>
        </w:tc>
        <w:tc>
          <w:tcPr>
            <w:tcW w:w="8018" w:type="dxa"/>
            <w:vAlign w:val="center"/>
          </w:tcPr>
          <w:p>
            <w:pPr>
              <w:spacing w:line="360" w:lineRule="auto"/>
              <w:jc w:val="left"/>
              <w:rPr>
                <w:rFonts w:ascii="宋体" w:hAnsi="宋体" w:cs="宋体" w:hint="eastAsia"/>
              </w:rPr>
            </w:pPr>
            <w:r>
              <w:rPr>
                <w:rFonts w:ascii="宋体" w:hAnsi="宋体" w:cs="宋体" w:hint="eastAsia"/>
              </w:rPr>
              <w:t>投标文件电子文档带病毒；</w:t>
            </w:r>
          </w:p>
        </w:tc>
      </w:tr>
      <w:tr>
        <w:tblPrEx>
          <w:tblW w:w="0" w:type="auto"/>
          <w:tblLayout w:type="fixed"/>
          <w:tblCellMar>
            <w:top w:w="0" w:type="dxa"/>
            <w:left w:w="108" w:type="dxa"/>
            <w:bottom w:w="0" w:type="dxa"/>
            <w:right w:w="108" w:type="dxa"/>
          </w:tblCellMar>
          <w:tblLook w:val="0000"/>
        </w:tblPrEx>
        <w:tc>
          <w:tcPr>
            <w:tcW w:w="511" w:type="dxa"/>
            <w:vAlign w:val="center"/>
          </w:tcPr>
          <w:p>
            <w:pPr>
              <w:jc w:val="center"/>
              <w:rPr>
                <w:rFonts w:ascii="宋体" w:hAnsi="宋体" w:cs="宋体" w:hint="eastAsia"/>
              </w:rPr>
            </w:pPr>
            <w:r>
              <w:rPr>
                <w:rFonts w:ascii="宋体" w:hAnsi="宋体" w:cs="宋体" w:hint="eastAsia"/>
              </w:rPr>
              <w:t>14</w:t>
            </w:r>
          </w:p>
        </w:tc>
        <w:tc>
          <w:tcPr>
            <w:tcW w:w="8018" w:type="dxa"/>
            <w:vAlign w:val="center"/>
          </w:tcPr>
          <w:p>
            <w:pPr>
              <w:spacing w:line="360" w:lineRule="auto"/>
              <w:jc w:val="left"/>
              <w:rPr>
                <w:rFonts w:ascii="宋体" w:hAnsi="宋体" w:cs="宋体" w:hint="eastAsia"/>
              </w:rPr>
            </w:pPr>
            <w:r>
              <w:rPr>
                <w:rFonts w:ascii="宋体" w:hAnsi="宋体" w:cs="宋体" w:hint="eastAsia"/>
              </w:rPr>
              <w:t>投标文件用不属于本公司的电子密钥进行加密的；</w:t>
            </w:r>
          </w:p>
        </w:tc>
      </w:tr>
      <w:tr>
        <w:tblPrEx>
          <w:tblW w:w="0" w:type="auto"/>
          <w:tblLayout w:type="fixed"/>
          <w:tblCellMar>
            <w:top w:w="0" w:type="dxa"/>
            <w:left w:w="108" w:type="dxa"/>
            <w:bottom w:w="0" w:type="dxa"/>
            <w:right w:w="108" w:type="dxa"/>
          </w:tblCellMar>
          <w:tblLook w:val="0000"/>
        </w:tblPrEx>
        <w:tc>
          <w:tcPr>
            <w:tcW w:w="511" w:type="dxa"/>
            <w:vAlign w:val="center"/>
          </w:tcPr>
          <w:p>
            <w:pPr>
              <w:jc w:val="center"/>
              <w:rPr>
                <w:rFonts w:ascii="宋体" w:hAnsi="宋体" w:cs="宋体" w:hint="eastAsia"/>
              </w:rPr>
            </w:pPr>
            <w:r>
              <w:rPr>
                <w:rFonts w:ascii="宋体" w:hAnsi="宋体" w:cs="宋体" w:hint="eastAsia"/>
              </w:rPr>
              <w:t>15</w:t>
            </w:r>
          </w:p>
        </w:tc>
        <w:tc>
          <w:tcPr>
            <w:tcW w:w="8018" w:type="dxa"/>
            <w:vAlign w:val="center"/>
          </w:tcPr>
          <w:p>
            <w:pPr>
              <w:spacing w:line="360" w:lineRule="auto"/>
              <w:jc w:val="left"/>
              <w:rPr>
                <w:rFonts w:ascii="宋体" w:hAnsi="宋体" w:cs="宋体" w:hint="eastAsia"/>
              </w:rPr>
            </w:pPr>
            <w:r>
              <w:rPr>
                <w:rFonts w:hint="eastAsia"/>
                <w:szCs w:val="21"/>
              </w:rPr>
              <w:t>投标人未在指定时间内解密投标文件的；</w:t>
            </w:r>
          </w:p>
        </w:tc>
      </w:tr>
      <w:tr>
        <w:tblPrEx>
          <w:tblW w:w="0" w:type="auto"/>
          <w:tblLayout w:type="fixed"/>
          <w:tblCellMar>
            <w:top w:w="0" w:type="dxa"/>
            <w:left w:w="108" w:type="dxa"/>
            <w:bottom w:w="0" w:type="dxa"/>
            <w:right w:w="108" w:type="dxa"/>
          </w:tblCellMar>
          <w:tblLook w:val="0000"/>
        </w:tblPrEx>
        <w:tc>
          <w:tcPr>
            <w:tcW w:w="511" w:type="dxa"/>
            <w:vAlign w:val="center"/>
          </w:tcPr>
          <w:p>
            <w:pPr>
              <w:jc w:val="center"/>
              <w:rPr>
                <w:rFonts w:ascii="宋体" w:hAnsi="宋体" w:cs="宋体" w:hint="eastAsia"/>
              </w:rPr>
            </w:pPr>
            <w:r>
              <w:rPr>
                <w:rFonts w:ascii="宋体" w:hAnsi="宋体" w:cs="宋体" w:hint="eastAsia"/>
              </w:rPr>
              <w:t>16</w:t>
            </w:r>
          </w:p>
        </w:tc>
        <w:tc>
          <w:tcPr>
            <w:tcW w:w="8018" w:type="dxa"/>
            <w:vAlign w:val="center"/>
          </w:tcPr>
          <w:p>
            <w:pPr>
              <w:spacing w:line="360" w:lineRule="auto"/>
              <w:jc w:val="left"/>
              <w:rPr>
                <w:rFonts w:ascii="宋体" w:hAnsi="宋体" w:cs="宋体" w:hint="eastAsia"/>
              </w:rPr>
            </w:pPr>
            <w:r>
              <w:rPr>
                <w:rFonts w:ascii="宋体" w:hAnsi="宋体" w:cs="宋体" w:hint="eastAsia"/>
              </w:rPr>
              <w:t>法律、法规规定的其他情形；</w:t>
            </w:r>
          </w:p>
        </w:tc>
      </w:tr>
    </w:tbl>
    <w:p>
      <w:pPr>
        <w:rPr>
          <w:rFonts w:ascii="宋体" w:hAnsi="宋体" w:cs="宋体" w:hint="eastAsia"/>
        </w:rPr>
      </w:pPr>
    </w:p>
    <w:p>
      <w:pPr>
        <w:pStyle w:val="Heading2"/>
        <w:rPr>
          <w:rFonts w:cs="宋体" w:hint="eastAsia"/>
          <w:b w:val="0"/>
          <w:bCs w:val="0"/>
          <w:sz w:val="28"/>
          <w:szCs w:val="21"/>
        </w:rPr>
      </w:pPr>
      <w:r>
        <w:rPr>
          <w:rFonts w:cs="宋体" w:hint="eastAsia"/>
          <w:b w:val="0"/>
          <w:bCs w:val="0"/>
          <w:sz w:val="28"/>
          <w:szCs w:val="21"/>
        </w:rPr>
        <w:br w:type="page"/>
      </w:r>
      <w:r>
        <w:rPr>
          <w:rFonts w:cs="宋体" w:hint="eastAsia"/>
          <w:b w:val="0"/>
          <w:bCs w:val="0"/>
          <w:sz w:val="28"/>
          <w:szCs w:val="21"/>
        </w:rPr>
        <w:t>评标方法</w:t>
      </w:r>
    </w:p>
    <w:tbl>
      <w:tblPr>
        <w:tblStyle w:val="TableNormal"/>
        <w:tblW w:w="5000" w:type="pct"/>
        <w:jc w:val="center"/>
        <w:tblCellSpacing w:w="0" w:type="dxa"/>
        <w:tblCellMar>
          <w:top w:w="45" w:type="dxa"/>
          <w:left w:w="45" w:type="dxa"/>
          <w:bottom w:w="45" w:type="dxa"/>
          <w:right w:w="45" w:type="dxa"/>
        </w:tblCellMar>
        <w:tblLook w:val="0000"/>
      </w:tblPr>
      <w:tblGrid>
        <w:gridCol w:w="8403"/>
      </w:tblGrid>
      <w:tr>
        <w:tblPrEx>
          <w:tblW w:w="5000" w:type="pct"/>
          <w:jc w:val="center"/>
          <w:tblCellSpacing w:w="0" w:type="dxa"/>
          <w:tblCellMar>
            <w:top w:w="45" w:type="dxa"/>
            <w:left w:w="45" w:type="dxa"/>
            <w:bottom w:w="45" w:type="dxa"/>
            <w:right w:w="45" w:type="dxa"/>
          </w:tblCellMar>
          <w:tblLook w:val="0000"/>
        </w:tblPrEx>
        <w:trPr>
          <w:tblCellSpacing w:w="0" w:type="dxa"/>
          <w:jc w:val="center"/>
        </w:trPr>
        <w:tc>
          <w:tcPr>
            <w:tcW w:w="5000" w:type="pct"/>
            <w:tcBorders>
              <w:top w:val="nil"/>
              <w:left w:val="nil"/>
              <w:bottom w:val="nil"/>
              <w:right w:val="nil"/>
            </w:tcBorders>
            <w:vAlign w:val="center"/>
          </w:tcPr>
          <w:p>
            <w:pPr>
              <w:rPr>
                <w:rFonts w:ascii="宋体" w:hAnsi="宋体" w:cs="宋体" w:hint="eastAsia"/>
                <w:b/>
                <w:bCs/>
                <w:color w:val="000000"/>
              </w:rPr>
            </w:pPr>
          </w:p>
          <w:p>
            <w:pPr>
              <w:rPr>
                <w:rFonts w:ascii="宋体" w:hAnsi="宋体" w:cs="宋体" w:hint="eastAsia"/>
                <w:b/>
                <w:bCs/>
                <w:color w:val="000000"/>
              </w:rPr>
            </w:pPr>
            <w:r>
              <w:rPr>
                <w:rFonts w:ascii="宋体" w:hAnsi="宋体" w:cs="宋体" w:hint="eastAsia"/>
                <w:b/>
                <w:bCs/>
                <w:color w:val="000000"/>
              </w:rPr>
              <w:t>一、评标方法：综合评分法（新价格分算法）</w:t>
            </w:r>
          </w:p>
        </w:tc>
      </w:tr>
      <w:tr>
        <w:tblPrEx>
          <w:tblW w:w="5000" w:type="pct"/>
          <w:jc w:val="center"/>
          <w:tblCellSpacing w:w="0" w:type="dxa"/>
          <w:tblCellMar>
            <w:top w:w="45" w:type="dxa"/>
            <w:left w:w="45" w:type="dxa"/>
            <w:bottom w:w="45" w:type="dxa"/>
            <w:right w:w="45" w:type="dxa"/>
          </w:tblCellMar>
          <w:tblLook w:val="0000"/>
        </w:tblPrEx>
        <w:trPr>
          <w:tblCellSpacing w:w="0" w:type="dxa"/>
          <w:jc w:val="center"/>
        </w:trPr>
        <w:tc>
          <w:tcPr>
            <w:tcW w:w="5000" w:type="pct"/>
            <w:tcBorders>
              <w:top w:val="nil"/>
              <w:left w:val="nil"/>
              <w:bottom w:val="nil"/>
              <w:right w:val="nil"/>
            </w:tcBorders>
            <w:vAlign w:val="center"/>
          </w:tcPr>
          <w:p>
            <w:pPr>
              <w:spacing w:line="360" w:lineRule="auto"/>
              <w:ind w:firstLine="480" w:firstLineChars="200"/>
              <w:rPr>
                <w:rFonts w:ascii="宋体" w:hAnsi="宋体" w:cs="宋体" w:hint="eastAsia"/>
                <w:color w:val="000000"/>
              </w:rPr>
            </w:pPr>
            <w:r>
              <w:rPr>
                <w:rFonts w:ascii="宋体" w:hAnsi="宋体" w:cs="宋体" w:hint="eastAsia"/>
                <w:color w:val="000000"/>
              </w:rPr>
              <w:t>综合评分法，是指投标文件满足招标文件全部实质性要求，且按照评审因素的量化指标评审得分最高的投标人为中标候选人的评标方法。</w:t>
            </w:r>
          </w:p>
          <w:p>
            <w:pPr>
              <w:spacing w:line="360" w:lineRule="auto"/>
              <w:ind w:firstLine="480" w:firstLineChars="200"/>
              <w:rPr>
                <w:rFonts w:ascii="宋体" w:hAnsi="宋体" w:cs="宋体" w:hint="eastAsia"/>
                <w:color w:val="000000"/>
              </w:rPr>
            </w:pPr>
            <w:r>
              <w:rPr>
                <w:rFonts w:ascii="宋体" w:hAnsi="宋体" w:cs="宋体" w:hint="eastAsia"/>
                <w:color w:val="000000"/>
              </w:rPr>
              <w:t>价格分计算方法：</w:t>
            </w:r>
          </w:p>
          <w:p>
            <w:pPr>
              <w:spacing w:line="360" w:lineRule="auto"/>
              <w:ind w:firstLine="480" w:firstLineChars="200"/>
              <w:rPr>
                <w:rFonts w:ascii="宋体" w:hAnsi="宋体" w:cs="宋体" w:hint="eastAsia"/>
                <w:color w:val="000000"/>
              </w:rPr>
            </w:pPr>
            <w:r>
              <w:rPr>
                <w:rFonts w:ascii="宋体" w:hAnsi="宋体" w:cs="宋体" w:hint="eastAsia"/>
                <w:color w:val="000000"/>
              </w:rPr>
              <w:t>采用低价优先法计算，即满足招标文件要求且投标价格最低的投标报价为评标基准价，其价格分为满分。其他投标人的价格分统一按照下列公式计算：</w:t>
            </w:r>
          </w:p>
          <w:p>
            <w:pPr>
              <w:spacing w:line="360" w:lineRule="auto"/>
              <w:ind w:firstLine="480" w:firstLineChars="200"/>
              <w:rPr>
                <w:rFonts w:ascii="宋体" w:hAnsi="宋体" w:cs="宋体" w:hint="eastAsia"/>
                <w:color w:val="000000"/>
              </w:rPr>
            </w:pPr>
            <w:r>
              <w:rPr>
                <w:rFonts w:ascii="宋体" w:hAnsi="宋体" w:cs="宋体" w:hint="eastAsia"/>
                <w:color w:val="000000"/>
              </w:rPr>
              <w:t xml:space="preserve">投标报价得分=(评标基准价／投标报价)×100 </w:t>
            </w:r>
          </w:p>
          <w:p>
            <w:pPr>
              <w:spacing w:line="360" w:lineRule="auto"/>
              <w:ind w:firstLine="480" w:firstLineChars="200"/>
              <w:rPr>
                <w:rFonts w:ascii="宋体" w:hAnsi="宋体" w:cs="宋体" w:hint="eastAsia"/>
                <w:color w:val="000000"/>
              </w:rPr>
            </w:pPr>
            <w:r>
              <w:rPr>
                <w:rFonts w:ascii="宋体" w:hAnsi="宋体" w:cs="宋体" w:hint="eastAsia"/>
                <w:color w:val="000000"/>
              </w:rPr>
              <w:t>评标总得分＝F1×A1＋F2×A2＋……＋Fn×An</w:t>
            </w:r>
          </w:p>
          <w:p>
            <w:pPr>
              <w:spacing w:line="360" w:lineRule="auto"/>
              <w:ind w:firstLine="480" w:firstLineChars="200"/>
              <w:rPr>
                <w:rFonts w:ascii="宋体" w:hAnsi="宋体" w:cs="宋体" w:hint="eastAsia"/>
                <w:color w:val="000000"/>
              </w:rPr>
            </w:pPr>
            <w:r>
              <w:rPr>
                <w:rFonts w:ascii="宋体" w:hAnsi="宋体" w:cs="宋体" w:hint="eastAsia"/>
                <w:color w:val="000000"/>
              </w:rPr>
              <w:t>F1、F2……Fn分别为各项评审因素的得分；</w:t>
            </w:r>
          </w:p>
          <w:p>
            <w:pPr>
              <w:spacing w:line="360" w:lineRule="auto"/>
              <w:ind w:firstLine="480" w:firstLineChars="200"/>
              <w:rPr>
                <w:rFonts w:ascii="宋体" w:hAnsi="宋体" w:cs="宋体" w:hint="eastAsia"/>
                <w:color w:val="000000"/>
              </w:rPr>
            </w:pPr>
            <w:r>
              <w:rPr>
                <w:rFonts w:ascii="宋体" w:hAnsi="宋体" w:cs="宋体" w:hint="eastAsia"/>
                <w:color w:val="000000"/>
              </w:rPr>
              <w:t>A1、A2、……An 分别为各项评审因素所占的权重(A1＋A2＋……＋An＝1)。</w:t>
            </w:r>
          </w:p>
          <w:p>
            <w:pPr>
              <w:spacing w:line="360" w:lineRule="auto"/>
              <w:ind w:firstLine="480" w:firstLineChars="200"/>
              <w:rPr>
                <w:rFonts w:ascii="宋体" w:hAnsi="宋体" w:cs="宋体" w:hint="eastAsia"/>
                <w:color w:val="000000"/>
              </w:rPr>
            </w:pPr>
            <w:r>
              <w:rPr>
                <w:rFonts w:ascii="宋体" w:hAnsi="宋体" w:cs="宋体" w:hint="eastAsia"/>
                <w:color w:val="000000"/>
              </w:rPr>
              <w:t>评标过程中，不得去掉报价中的最高报价和最低报价。</w:t>
            </w:r>
          </w:p>
          <w:p>
            <w:pPr>
              <w:spacing w:line="360" w:lineRule="auto"/>
              <w:ind w:firstLine="480" w:firstLineChars="200"/>
              <w:rPr>
                <w:rFonts w:ascii="宋体" w:hAnsi="宋体" w:cs="宋体" w:hint="eastAsia"/>
                <w:b/>
                <w:bCs/>
                <w:color w:val="000000"/>
              </w:rPr>
            </w:pPr>
            <w:r>
              <w:rPr>
                <w:rFonts w:ascii="宋体" w:hAnsi="宋体" w:cs="宋体" w:hint="eastAsia"/>
                <w:color w:val="000000"/>
              </w:rPr>
              <w:t>此方法适用于货物类、服务类、工程类项目。</w:t>
            </w:r>
          </w:p>
          <w:p>
            <w:pPr>
              <w:spacing w:line="360" w:lineRule="auto"/>
              <w:rPr>
                <w:rFonts w:ascii="宋体" w:hAnsi="宋体" w:cs="宋体" w:hint="eastAsia"/>
                <w:b/>
                <w:bCs/>
                <w:color w:val="000000"/>
              </w:rPr>
            </w:pPr>
            <w:r>
              <w:rPr>
                <w:rFonts w:ascii="宋体" w:hAnsi="宋体" w:cs="宋体" w:hint="eastAsia"/>
                <w:b/>
                <w:bCs/>
                <w:color w:val="000000"/>
              </w:rPr>
              <w:t>二、关于享受优惠政策的主体及价格扣除比例</w:t>
            </w:r>
          </w:p>
          <w:p>
            <w:pPr>
              <w:spacing w:line="360" w:lineRule="auto"/>
              <w:ind w:firstLine="480" w:firstLineChars="200"/>
              <w:rPr>
                <w:rFonts w:ascii="宋体" w:hAnsi="宋体" w:cs="宋体" w:hint="eastAsia"/>
                <w:color w:val="000000"/>
              </w:rPr>
            </w:pPr>
            <w:r>
              <w:rPr>
                <w:rFonts w:ascii="宋体" w:hAnsi="宋体" w:cs="宋体" w:hint="eastAsia"/>
                <w:color w:val="000000"/>
              </w:rPr>
              <w:t>（一）小型企业、微型企业、监狱企业、残疾人福利性单位提供本企业制造的货物，承担的工程或服务，或者提供其他符合优惠主体资格条件企业制造的货物，对其所投产品的价格给予</w:t>
            </w:r>
            <w:r>
              <w:rPr>
                <w:rFonts w:ascii="宋体" w:hAnsi="宋体" w:cs="宋体" w:hint="eastAsia"/>
                <w:color w:val="000000"/>
                <w:u w:val="single"/>
              </w:rPr>
              <w:t xml:space="preserve"> </w:t>
            </w:r>
            <w:r>
              <w:rPr>
                <w:rFonts w:ascii="宋体" w:hAnsi="宋体" w:cs="宋体" w:hint="eastAsia"/>
                <w:b/>
                <w:color w:val="000000"/>
                <w:u w:val="single"/>
              </w:rPr>
              <w:t xml:space="preserve">10% </w:t>
            </w:r>
            <w:r>
              <w:rPr>
                <w:rFonts w:ascii="宋体" w:hAnsi="宋体" w:cs="宋体" w:hint="eastAsia"/>
                <w:color w:val="000000"/>
              </w:rPr>
              <w:t>的扣除，用扣除后的价格参与评审，具体扣除比例由采购人或者采购代理机构确定。满足多项优惠政策的企业，不重复享受多项价格扣除政策。</w:t>
            </w:r>
          </w:p>
          <w:p>
            <w:pPr>
              <w:spacing w:line="360" w:lineRule="auto"/>
              <w:ind w:firstLine="480" w:firstLineChars="200"/>
              <w:rPr>
                <w:rFonts w:ascii="宋体" w:hAnsi="宋体" w:cs="宋体" w:hint="eastAsia"/>
                <w:color w:val="000000"/>
              </w:rPr>
            </w:pPr>
            <w:r>
              <w:rPr>
                <w:rFonts w:ascii="宋体" w:hAnsi="宋体" w:cs="宋体" w:hint="eastAsia"/>
                <w:color w:val="000000"/>
              </w:rPr>
              <w:t>（二）联合体投标且联合协议中明确约定优惠主体的协议合同金额占到联合体协议总金额30%以上的，价格扣除比例为</w:t>
            </w:r>
            <w:r>
              <w:rPr>
                <w:rFonts w:ascii="宋体" w:hAnsi="宋体" w:cs="宋体" w:hint="eastAsia"/>
                <w:color w:val="000000"/>
                <w:u w:val="single"/>
              </w:rPr>
              <w:t xml:space="preserve"> </w:t>
            </w:r>
            <w:r>
              <w:rPr>
                <w:rFonts w:ascii="宋体" w:hAnsi="宋体" w:cs="宋体" w:hint="eastAsia"/>
                <w:b/>
                <w:color w:val="000000"/>
                <w:u w:val="single"/>
              </w:rPr>
              <w:t xml:space="preserve">  /%  </w:t>
            </w:r>
            <w:r>
              <w:rPr>
                <w:rFonts w:ascii="宋体" w:hAnsi="宋体" w:cs="宋体" w:hint="eastAsia"/>
                <w:color w:val="000000"/>
              </w:rPr>
              <w:t>，具体扣除比例由采购人或者采购代理机构确定。联合体各方均为优惠主体的，对其所投产品的价格给予</w:t>
            </w:r>
            <w:r>
              <w:rPr>
                <w:rFonts w:ascii="宋体" w:hAnsi="宋体" w:cs="宋体" w:hint="eastAsia"/>
                <w:b/>
                <w:color w:val="000000"/>
                <w:u w:val="single"/>
              </w:rPr>
              <w:t xml:space="preserve">  /%  </w:t>
            </w:r>
            <w:r>
              <w:rPr>
                <w:rFonts w:ascii="宋体" w:hAnsi="宋体" w:cs="宋体" w:hint="eastAsia"/>
                <w:color w:val="000000"/>
              </w:rPr>
              <w:t>的扣除</w:t>
            </w:r>
            <w:r>
              <w:rPr>
                <w:rFonts w:ascii="宋体" w:hAnsi="宋体" w:cs="宋体" w:hint="eastAsia"/>
                <w:b/>
                <w:color w:val="000000"/>
              </w:rPr>
              <w:t>（不接受联合体投标的项目，本条不适用）</w:t>
            </w:r>
            <w:r>
              <w:rPr>
                <w:rFonts w:ascii="宋体" w:hAnsi="宋体" w:cs="宋体" w:hint="eastAsia"/>
                <w:color w:val="000000"/>
              </w:rPr>
              <w:t>。</w:t>
            </w:r>
          </w:p>
          <w:p>
            <w:pPr>
              <w:spacing w:line="360" w:lineRule="auto"/>
              <w:ind w:firstLine="480" w:firstLineChars="200"/>
              <w:rPr>
                <w:rFonts w:ascii="宋体" w:hAnsi="宋体" w:cs="宋体" w:hint="eastAsia"/>
                <w:color w:val="000000"/>
              </w:rPr>
            </w:pPr>
            <w:r>
              <w:rPr>
                <w:rFonts w:ascii="宋体" w:hAnsi="宋体" w:cs="宋体" w:hint="eastAsia"/>
                <w:color w:val="000000"/>
              </w:rPr>
              <w:t>（三）优惠主体资格的认定资料为《中小企业声明函》、《残疾人福利性单位声明函》、《监狱企业声明函》以及《含有小型、微型企业的联合体声明函》等承诺性质的资料（声明函样式见“第三章 投标文件格式、附件”的“四、投标人情况介绍”）；监狱企业或者代理提供监狱企业货物的供应商如须享受优惠政策，除上述资料外，还须提供省级以上监狱管理局、戒毒管理局出具的监狱企业证明文件。</w:t>
            </w:r>
          </w:p>
          <w:p>
            <w:pPr>
              <w:spacing w:line="360" w:lineRule="auto"/>
              <w:ind w:firstLine="360" w:firstLineChars="150"/>
              <w:rPr>
                <w:rFonts w:ascii="宋体" w:hAnsi="宋体" w:cs="宋体" w:hint="eastAsia"/>
                <w:b/>
                <w:bCs/>
                <w:color w:val="000000"/>
              </w:rPr>
            </w:pPr>
            <w:r>
              <w:rPr>
                <w:rFonts w:ascii="宋体" w:hAnsi="宋体" w:cs="宋体" w:hint="eastAsia"/>
                <w:b/>
                <w:bCs/>
                <w:color w:val="000000"/>
              </w:rPr>
              <w:t>备注：1.在货物采购项目中，供应商提供的货物既有中小企业制造货物，也有大型企业制造货物的，不享受本办法规定的中小企业扶持政策。</w:t>
            </w:r>
          </w:p>
          <w:p>
            <w:pPr>
              <w:numPr>
                <w:ilvl w:val="0"/>
                <w:numId w:val="1"/>
              </w:numPr>
              <w:tabs>
                <w:tab w:val="left" w:pos="312"/>
              </w:tabs>
              <w:spacing w:line="360" w:lineRule="auto"/>
              <w:rPr>
                <w:rFonts w:ascii="宋体" w:hAnsi="宋体" w:cs="宋体" w:hint="eastAsia"/>
                <w:color w:val="000000"/>
              </w:rPr>
            </w:pPr>
            <w:r>
              <w:rPr>
                <w:rFonts w:ascii="宋体" w:hAnsi="宋体" w:cs="宋体" w:hint="eastAsia"/>
                <w:b/>
                <w:bCs/>
                <w:color w:val="000000"/>
              </w:rPr>
              <w:t>享受扶持政策获得政府采购合同的，小微企业不得将合同分包给大中型企业，中型企业不得将合同分包给大型企业。</w:t>
            </w:r>
          </w:p>
        </w:tc>
      </w:tr>
    </w:tbl>
    <w:p>
      <w:pPr>
        <w:rPr>
          <w:rFonts w:ascii="宋体" w:hAnsi="宋体" w:cs="宋体" w:hint="eastAsia"/>
          <w:b/>
          <w:bCs/>
          <w:color w:val="FF0000"/>
        </w:rPr>
      </w:pPr>
    </w:p>
    <w:p>
      <w:pPr>
        <w:pStyle w:val="PlainText"/>
        <w:rPr>
          <w:rFonts w:hint="eastAsia"/>
        </w:rPr>
      </w:pPr>
    </w:p>
    <w:p>
      <w:pPr>
        <w:numPr>
          <w:ilvl w:val="0"/>
          <w:numId w:val="2"/>
        </w:numPr>
      </w:pPr>
      <w:r>
        <w:rPr>
          <w:rFonts w:ascii="宋体" w:hAnsi="宋体" w:cs="宋体" w:hint="eastAsia"/>
          <w:b/>
          <w:bCs/>
          <w:color w:val="000000"/>
        </w:rPr>
        <w:br w:type="page"/>
      </w:r>
      <w:r>
        <w:rPr>
          <w:rFonts w:ascii="宋体" w:hAnsi="宋体" w:cs="宋体" w:hint="eastAsia"/>
          <w:b/>
          <w:bCs/>
          <w:color w:val="000000"/>
        </w:rPr>
        <w:t>评标信息</w:t>
      </w:r>
    </w:p>
    <w:tbl>
      <w:tblPr>
        <w:tblStyle w:val="TableNormal"/>
        <w:tblW w:w="4998" w:type="pct"/>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top w:w="20" w:type="dxa"/>
          <w:left w:w="108" w:type="dxa"/>
          <w:bottom w:w="20" w:type="dxa"/>
          <w:right w:w="108" w:type="dxa"/>
        </w:tblCellMar>
        <w:tblLook w:val="0000"/>
      </w:tblPr>
      <w:tblGrid>
        <w:gridCol w:w="638"/>
        <w:gridCol w:w="638"/>
        <w:gridCol w:w="2398"/>
        <w:gridCol w:w="907"/>
        <w:gridCol w:w="3945"/>
      </w:tblGrid>
      <w:tr>
        <w:tblPrEx>
          <w:tblW w:w="4998" w:type="pct"/>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top w:w="20" w:type="dxa"/>
            <w:left w:w="108" w:type="dxa"/>
            <w:bottom w:w="20" w:type="dxa"/>
            <w:right w:w="108" w:type="dxa"/>
          </w:tblCellMar>
          <w:tblLook w:val="0000"/>
        </w:tblPrEx>
        <w:trPr>
          <w:jc w:val="center"/>
        </w:trPr>
        <w:tc>
          <w:tcPr>
            <w:tcW w:w="374" w:type="pct"/>
            <w:tcBorders>
              <w:top w:val="single" w:sz="8" w:space="0" w:color="000000"/>
              <w:left w:val="single" w:sz="8" w:space="0" w:color="000000"/>
              <w:bottom w:val="single" w:sz="8" w:space="0" w:color="000000"/>
              <w:right w:val="single" w:sz="8" w:space="0" w:color="000000"/>
            </w:tcBorders>
            <w:shd w:val="clear" w:color="auto" w:fill="E6EFFA"/>
            <w:vAlign w:val="center"/>
          </w:tcPr>
          <w:p>
            <w:pPr>
              <w:wordWrap w:val="0"/>
              <w:jc w:val="center"/>
              <w:rPr>
                <w:rFonts w:ascii="宋体" w:hAnsi="宋体" w:cs="宋体" w:hint="eastAsia"/>
                <w:b/>
                <w:bCs/>
                <w:szCs w:val="21"/>
              </w:rPr>
            </w:pPr>
            <w:r>
              <w:rPr>
                <w:rFonts w:ascii="宋体" w:hAnsi="宋体" w:cs="宋体" w:hint="eastAsia"/>
                <w:b/>
                <w:bCs/>
                <w:szCs w:val="21"/>
              </w:rPr>
              <w:t>序号</w:t>
            </w:r>
          </w:p>
        </w:tc>
        <w:tc>
          <w:tcPr>
            <w:tcW w:w="2312" w:type="pct"/>
            <w:gridSpan w:val="3"/>
            <w:tcBorders>
              <w:top w:val="single" w:sz="8" w:space="0" w:color="000000"/>
              <w:left w:val="single" w:sz="8" w:space="0" w:color="000000"/>
              <w:bottom w:val="single" w:sz="8" w:space="0" w:color="000000"/>
              <w:right w:val="single" w:sz="8" w:space="0" w:color="000000"/>
            </w:tcBorders>
            <w:shd w:val="clear" w:color="auto" w:fill="E6EFFA"/>
            <w:vAlign w:val="center"/>
          </w:tcPr>
          <w:p>
            <w:pPr>
              <w:wordWrap w:val="0"/>
              <w:jc w:val="center"/>
              <w:rPr>
                <w:rFonts w:ascii="宋体" w:hAnsi="宋体" w:cs="宋体" w:hint="eastAsia"/>
                <w:b/>
                <w:bCs/>
                <w:szCs w:val="21"/>
              </w:rPr>
            </w:pPr>
            <w:r>
              <w:rPr>
                <w:rFonts w:ascii="宋体" w:hAnsi="宋体" w:cs="宋体" w:hint="eastAsia"/>
                <w:b/>
                <w:bCs/>
                <w:szCs w:val="21"/>
              </w:rPr>
              <w:t>评分项</w:t>
            </w:r>
          </w:p>
        </w:tc>
        <w:tc>
          <w:tcPr>
            <w:tcW w:w="2313" w:type="pct"/>
            <w:tcBorders>
              <w:top w:val="single" w:sz="8" w:space="0" w:color="000000"/>
              <w:left w:val="single" w:sz="8" w:space="0" w:color="000000"/>
              <w:bottom w:val="single" w:sz="8" w:space="0" w:color="000000"/>
              <w:right w:val="single" w:sz="8" w:space="0" w:color="000000"/>
            </w:tcBorders>
            <w:shd w:val="clear" w:color="auto" w:fill="E6EFFA"/>
            <w:vAlign w:val="center"/>
          </w:tcPr>
          <w:p>
            <w:pPr>
              <w:wordWrap w:val="0"/>
              <w:jc w:val="center"/>
              <w:rPr>
                <w:rFonts w:ascii="宋体" w:hAnsi="宋体" w:cs="宋体" w:hint="eastAsia"/>
                <w:b/>
                <w:bCs/>
                <w:szCs w:val="21"/>
              </w:rPr>
            </w:pPr>
            <w:r>
              <w:rPr>
                <w:rFonts w:ascii="宋体" w:hAnsi="宋体" w:cs="宋体" w:hint="eastAsia"/>
                <w:b/>
                <w:bCs/>
                <w:szCs w:val="21"/>
              </w:rPr>
              <w:t>权重</w:t>
            </w:r>
          </w:p>
        </w:tc>
      </w:tr>
      <w:tr>
        <w:tblPrEx>
          <w:tblW w:w="4998" w:type="pct"/>
          <w:jc w:val="center"/>
          <w:tblCellMar>
            <w:top w:w="20" w:type="dxa"/>
            <w:left w:w="108" w:type="dxa"/>
            <w:bottom w:w="20" w:type="dxa"/>
            <w:right w:w="108" w:type="dxa"/>
          </w:tblCellMar>
          <w:tblLook w:val="0000"/>
        </w:tblPrEx>
        <w:trPr>
          <w:jc w:val="center"/>
        </w:trPr>
        <w:tc>
          <w:tcPr>
            <w:tcW w:w="374" w:type="pct"/>
            <w:tcBorders>
              <w:top w:val="single" w:sz="8" w:space="0" w:color="000000"/>
              <w:left w:val="single" w:sz="8" w:space="0" w:color="000000"/>
              <w:bottom w:val="single" w:sz="8" w:space="0" w:color="000000"/>
              <w:right w:val="single" w:sz="8" w:space="0" w:color="000000"/>
            </w:tcBorders>
          </w:tcPr>
          <w:p>
            <w:pPr>
              <w:wordWrap w:val="0"/>
              <w:jc w:val="center"/>
              <w:rPr>
                <w:rFonts w:ascii="宋体" w:hAnsi="宋体" w:cs="宋体" w:hint="eastAsia"/>
                <w:b/>
                <w:bCs/>
                <w:color w:val="0000FF"/>
                <w:szCs w:val="21"/>
              </w:rPr>
            </w:pPr>
            <w:r>
              <w:rPr>
                <w:rFonts w:ascii="宋体" w:hAnsi="宋体" w:cs="宋体" w:hint="eastAsia"/>
                <w:b/>
                <w:bCs/>
                <w:color w:val="0000FF"/>
                <w:szCs w:val="21"/>
              </w:rPr>
              <w:t>1</w:t>
            </w:r>
          </w:p>
        </w:tc>
        <w:tc>
          <w:tcPr>
            <w:tcW w:w="2312" w:type="pct"/>
            <w:gridSpan w:val="3"/>
            <w:tcBorders>
              <w:top w:val="single" w:sz="8" w:space="0" w:color="000000"/>
              <w:left w:val="single" w:sz="8" w:space="0" w:color="000000"/>
              <w:bottom w:val="single" w:sz="8" w:space="0" w:color="000000"/>
              <w:right w:val="single" w:sz="8" w:space="0" w:color="000000"/>
            </w:tcBorders>
          </w:tcPr>
          <w:p>
            <w:pPr>
              <w:wordWrap w:val="0"/>
              <w:jc w:val="center"/>
              <w:rPr>
                <w:rFonts w:ascii="宋体" w:hAnsi="宋体" w:cs="宋体" w:hint="eastAsia"/>
                <w:b/>
                <w:bCs/>
                <w:color w:val="0000FF"/>
                <w:szCs w:val="21"/>
              </w:rPr>
            </w:pPr>
            <w:r>
              <w:rPr>
                <w:rFonts w:ascii="宋体" w:hAnsi="宋体" w:cs="宋体" w:hint="eastAsia"/>
                <w:b/>
                <w:bCs/>
                <w:color w:val="0000FF"/>
                <w:szCs w:val="21"/>
              </w:rPr>
              <w:t>价格部分</w:t>
            </w:r>
          </w:p>
        </w:tc>
        <w:tc>
          <w:tcPr>
            <w:tcW w:w="2313" w:type="pct"/>
            <w:tcBorders>
              <w:top w:val="single" w:sz="8" w:space="0" w:color="000000"/>
              <w:left w:val="single" w:sz="8" w:space="0" w:color="000000"/>
              <w:bottom w:val="single" w:sz="8" w:space="0" w:color="000000"/>
              <w:right w:val="single" w:sz="8" w:space="0" w:color="000000"/>
            </w:tcBorders>
          </w:tcPr>
          <w:p>
            <w:pPr>
              <w:wordWrap w:val="0"/>
              <w:jc w:val="center"/>
              <w:rPr>
                <w:rFonts w:ascii="宋体" w:hAnsi="宋体" w:cs="宋体" w:hint="eastAsia"/>
                <w:b/>
                <w:bCs/>
                <w:color w:val="0000FF"/>
                <w:szCs w:val="21"/>
              </w:rPr>
            </w:pPr>
            <w:r>
              <w:rPr>
                <w:rFonts w:ascii="宋体" w:hAnsi="宋体" w:cs="宋体" w:hint="eastAsia"/>
                <w:b/>
                <w:bCs/>
                <w:color w:val="0000FF"/>
                <w:szCs w:val="21"/>
              </w:rPr>
              <w:t>30</w:t>
            </w:r>
          </w:p>
        </w:tc>
      </w:tr>
      <w:tr>
        <w:tblPrEx>
          <w:tblW w:w="4998" w:type="pct"/>
          <w:jc w:val="center"/>
          <w:tblCellMar>
            <w:top w:w="20" w:type="dxa"/>
            <w:left w:w="108" w:type="dxa"/>
            <w:bottom w:w="20" w:type="dxa"/>
            <w:right w:w="108" w:type="dxa"/>
          </w:tblCellMar>
          <w:tblLook w:val="0000"/>
        </w:tblPrEx>
        <w:trPr>
          <w:jc w:val="center"/>
        </w:trPr>
        <w:tc>
          <w:tcPr>
            <w:tcW w:w="374" w:type="pct"/>
            <w:vMerge w:val="restart"/>
            <w:tcBorders>
              <w:top w:val="single" w:sz="8" w:space="0" w:color="000000"/>
              <w:left w:val="single" w:sz="8" w:space="0" w:color="000000"/>
              <w:bottom w:val="single" w:sz="8" w:space="0" w:color="000000"/>
              <w:right w:val="single" w:sz="8" w:space="0" w:color="000000"/>
            </w:tcBorders>
          </w:tcPr>
          <w:p>
            <w:pPr>
              <w:wordWrap w:val="0"/>
              <w:jc w:val="center"/>
              <w:rPr>
                <w:rFonts w:ascii="宋体" w:hAnsi="宋体" w:cs="宋体" w:hint="eastAsia"/>
                <w:b/>
                <w:bCs/>
                <w:color w:val="0000FF"/>
                <w:szCs w:val="21"/>
              </w:rPr>
            </w:pPr>
            <w:r>
              <w:rPr>
                <w:rFonts w:ascii="宋体" w:hAnsi="宋体" w:cs="宋体" w:hint="eastAsia"/>
                <w:b/>
                <w:bCs/>
                <w:color w:val="0000FF"/>
                <w:szCs w:val="21"/>
              </w:rPr>
              <w:t>2</w:t>
            </w:r>
          </w:p>
        </w:tc>
        <w:tc>
          <w:tcPr>
            <w:tcW w:w="2312" w:type="pct"/>
            <w:gridSpan w:val="3"/>
            <w:tcBorders>
              <w:top w:val="single" w:sz="8" w:space="0" w:color="000000"/>
              <w:left w:val="single" w:sz="8" w:space="0" w:color="000000"/>
              <w:bottom w:val="single" w:sz="8" w:space="0" w:color="000000"/>
              <w:right w:val="single" w:sz="8" w:space="0" w:color="000000"/>
            </w:tcBorders>
          </w:tcPr>
          <w:p>
            <w:pPr>
              <w:wordWrap w:val="0"/>
              <w:jc w:val="center"/>
              <w:rPr>
                <w:rFonts w:ascii="宋体" w:hAnsi="宋体" w:cs="宋体" w:hint="eastAsia"/>
                <w:b/>
                <w:bCs/>
                <w:color w:val="0000FF"/>
                <w:szCs w:val="21"/>
              </w:rPr>
            </w:pPr>
            <w:r>
              <w:rPr>
                <w:rFonts w:ascii="宋体" w:hAnsi="宋体" w:cs="宋体" w:hint="eastAsia"/>
                <w:b/>
                <w:bCs/>
                <w:color w:val="0000FF"/>
                <w:szCs w:val="21"/>
              </w:rPr>
              <w:t>技术部分</w:t>
            </w:r>
          </w:p>
        </w:tc>
        <w:tc>
          <w:tcPr>
            <w:tcW w:w="2313" w:type="pct"/>
            <w:tcBorders>
              <w:top w:val="single" w:sz="8" w:space="0" w:color="000000"/>
              <w:left w:val="single" w:sz="8" w:space="0" w:color="000000"/>
              <w:bottom w:val="single" w:sz="8" w:space="0" w:color="000000"/>
              <w:right w:val="single" w:sz="8" w:space="0" w:color="000000"/>
            </w:tcBorders>
          </w:tcPr>
          <w:p>
            <w:pPr>
              <w:wordWrap w:val="0"/>
              <w:jc w:val="center"/>
              <w:rPr>
                <w:rFonts w:ascii="宋体" w:hAnsi="宋体" w:cs="宋体" w:hint="eastAsia"/>
                <w:b/>
                <w:bCs/>
                <w:color w:val="0000FF"/>
                <w:szCs w:val="21"/>
              </w:rPr>
            </w:pPr>
            <w:r>
              <w:rPr>
                <w:rFonts w:ascii="宋体" w:hAnsi="宋体" w:cs="宋体" w:hint="eastAsia"/>
                <w:b/>
                <w:bCs/>
                <w:color w:val="0000FF"/>
                <w:szCs w:val="21"/>
              </w:rPr>
              <w:t>55</w:t>
            </w:r>
          </w:p>
        </w:tc>
      </w:tr>
      <w:tr>
        <w:tblPrEx>
          <w:tblW w:w="4998" w:type="pct"/>
          <w:jc w:val="center"/>
          <w:tblCellMar>
            <w:top w:w="20" w:type="dxa"/>
            <w:left w:w="108" w:type="dxa"/>
            <w:bottom w:w="20" w:type="dxa"/>
            <w:right w:w="108" w:type="dxa"/>
          </w:tblCellMar>
          <w:tblLook w:val="0000"/>
        </w:tblPrEx>
        <w:trPr>
          <w:jc w:val="center"/>
        </w:trPr>
        <w:tc>
          <w:tcPr>
            <w:tcW w:w="374" w:type="pct"/>
            <w:vMerge/>
            <w:tcBorders>
              <w:top w:val="single" w:sz="8" w:space="0" w:color="000000"/>
              <w:left w:val="single" w:sz="8" w:space="0" w:color="000000"/>
              <w:bottom w:val="single" w:sz="8" w:space="0" w:color="000000"/>
              <w:right w:val="single" w:sz="8" w:space="0" w:color="000000"/>
            </w:tcBorders>
            <w:shd w:val="clear" w:color="auto" w:fill="E6EFFA"/>
            <w:vAlign w:val="center"/>
          </w:tcPr>
          <w:p>
            <w:pPr>
              <w:rPr>
                <w:rFonts w:ascii="宋体" w:hAnsi="宋体" w:cs="宋体" w:hint="eastAsia"/>
                <w:b/>
                <w:bCs/>
                <w:color w:val="0000FF"/>
                <w:szCs w:val="21"/>
              </w:rPr>
            </w:pPr>
          </w:p>
        </w:tc>
        <w:tc>
          <w:tcPr>
            <w:tcW w:w="374" w:type="pct"/>
            <w:tcBorders>
              <w:top w:val="outset" w:sz="6" w:space="0" w:color="000000"/>
              <w:left w:val="outset" w:sz="6" w:space="0" w:color="000000"/>
              <w:bottom w:val="outset" w:sz="6" w:space="0" w:color="000000"/>
              <w:right w:val="outset" w:sz="6" w:space="0" w:color="000000"/>
            </w:tcBorders>
            <w:shd w:val="clear" w:color="auto" w:fill="E6EFFA"/>
            <w:vAlign w:val="center"/>
          </w:tcPr>
          <w:p>
            <w:pPr>
              <w:wordWrap w:val="0"/>
              <w:jc w:val="center"/>
              <w:rPr>
                <w:rFonts w:ascii="宋体" w:hAnsi="宋体" w:cs="宋体" w:hint="eastAsia"/>
                <w:szCs w:val="21"/>
              </w:rPr>
            </w:pPr>
            <w:r>
              <w:rPr>
                <w:rFonts w:ascii="宋体" w:hAnsi="宋体" w:cs="宋体" w:hint="eastAsia"/>
                <w:szCs w:val="21"/>
              </w:rPr>
              <w:t>序号</w:t>
            </w:r>
          </w:p>
        </w:tc>
        <w:tc>
          <w:tcPr>
            <w:tcW w:w="1406" w:type="pct"/>
            <w:tcBorders>
              <w:top w:val="outset" w:sz="6" w:space="0" w:color="000000"/>
              <w:left w:val="outset" w:sz="6" w:space="0" w:color="000000"/>
              <w:bottom w:val="outset" w:sz="6" w:space="0" w:color="000000"/>
              <w:right w:val="outset" w:sz="6" w:space="0" w:color="000000"/>
            </w:tcBorders>
            <w:shd w:val="clear" w:color="auto" w:fill="E6EFFA"/>
            <w:vAlign w:val="center"/>
          </w:tcPr>
          <w:p>
            <w:pPr>
              <w:wordWrap w:val="0"/>
              <w:jc w:val="center"/>
              <w:rPr>
                <w:rFonts w:ascii="宋体" w:hAnsi="宋体" w:cs="宋体" w:hint="eastAsia"/>
                <w:szCs w:val="21"/>
              </w:rPr>
            </w:pPr>
            <w:r>
              <w:rPr>
                <w:rFonts w:ascii="宋体" w:hAnsi="宋体" w:cs="宋体" w:hint="eastAsia"/>
                <w:szCs w:val="21"/>
              </w:rPr>
              <w:t>评分因素</w:t>
            </w:r>
          </w:p>
        </w:tc>
        <w:tc>
          <w:tcPr>
            <w:tcW w:w="531" w:type="pct"/>
            <w:tcBorders>
              <w:top w:val="outset" w:sz="6" w:space="0" w:color="000000"/>
              <w:left w:val="outset" w:sz="6" w:space="0" w:color="000000"/>
              <w:bottom w:val="outset" w:sz="6" w:space="0" w:color="000000"/>
              <w:right w:val="outset" w:sz="6" w:space="0" w:color="000000"/>
            </w:tcBorders>
            <w:shd w:val="clear" w:color="auto" w:fill="E6EFFA"/>
            <w:vAlign w:val="center"/>
          </w:tcPr>
          <w:p>
            <w:pPr>
              <w:wordWrap w:val="0"/>
              <w:jc w:val="center"/>
              <w:rPr>
                <w:rFonts w:ascii="宋体" w:hAnsi="宋体" w:cs="宋体" w:hint="eastAsia"/>
                <w:szCs w:val="21"/>
              </w:rPr>
            </w:pPr>
            <w:r>
              <w:rPr>
                <w:rFonts w:ascii="宋体" w:hAnsi="宋体" w:cs="宋体" w:hint="eastAsia"/>
                <w:szCs w:val="21"/>
              </w:rPr>
              <w:t>权重</w:t>
            </w:r>
          </w:p>
        </w:tc>
        <w:tc>
          <w:tcPr>
            <w:tcW w:w="2313" w:type="pct"/>
            <w:tcBorders>
              <w:top w:val="outset" w:sz="6" w:space="0" w:color="000000"/>
              <w:left w:val="outset" w:sz="6" w:space="0" w:color="000000"/>
              <w:bottom w:val="outset" w:sz="6" w:space="0" w:color="000000"/>
              <w:right w:val="outset" w:sz="6" w:space="0" w:color="000000"/>
            </w:tcBorders>
            <w:shd w:val="clear" w:color="auto" w:fill="E6EFFA"/>
            <w:vAlign w:val="center"/>
          </w:tcPr>
          <w:p>
            <w:pPr>
              <w:wordWrap w:val="0"/>
              <w:jc w:val="center"/>
              <w:rPr>
                <w:rFonts w:ascii="宋体" w:hAnsi="宋体" w:cs="宋体" w:hint="eastAsia"/>
                <w:szCs w:val="21"/>
              </w:rPr>
            </w:pPr>
            <w:r>
              <w:rPr>
                <w:rFonts w:ascii="宋体" w:hAnsi="宋体" w:cs="宋体" w:hint="eastAsia"/>
                <w:szCs w:val="21"/>
              </w:rPr>
              <w:t>评分准则</w:t>
            </w:r>
          </w:p>
        </w:tc>
      </w:tr>
      <w:tr>
        <w:tblPrEx>
          <w:tblW w:w="4998" w:type="pct"/>
          <w:jc w:val="center"/>
          <w:tblCellMar>
            <w:top w:w="20" w:type="dxa"/>
            <w:left w:w="108" w:type="dxa"/>
            <w:bottom w:w="20" w:type="dxa"/>
            <w:right w:w="108" w:type="dxa"/>
          </w:tblCellMar>
          <w:tblLook w:val="0000"/>
        </w:tblPrEx>
        <w:trPr>
          <w:jc w:val="center"/>
        </w:trPr>
        <w:tc>
          <w:tcPr>
            <w:tcW w:w="374" w:type="pct"/>
            <w:vMerge/>
            <w:tcBorders>
              <w:top w:val="single" w:sz="8" w:space="0" w:color="000000"/>
              <w:left w:val="single" w:sz="8" w:space="0" w:color="000000"/>
              <w:bottom w:val="single" w:sz="8" w:space="0" w:color="000000"/>
              <w:right w:val="single" w:sz="8" w:space="0" w:color="000000"/>
            </w:tcBorders>
            <w:vAlign w:val="center"/>
          </w:tcPr>
          <w:p>
            <w:pPr>
              <w:rPr>
                <w:rFonts w:ascii="宋体" w:hAnsi="宋体" w:cs="宋体" w:hint="eastAsia"/>
                <w:b/>
                <w:bCs/>
                <w:color w:val="0000FF"/>
                <w:szCs w:val="21"/>
              </w:rPr>
            </w:pPr>
          </w:p>
        </w:tc>
        <w:tc>
          <w:tcPr>
            <w:tcW w:w="374" w:type="pct"/>
            <w:tcBorders>
              <w:top w:val="single" w:sz="8" w:space="0" w:color="000000"/>
              <w:left w:val="single" w:sz="8" w:space="0" w:color="000000"/>
              <w:bottom w:val="single" w:sz="8" w:space="0" w:color="000000"/>
              <w:right w:val="single" w:sz="8" w:space="0" w:color="000000"/>
            </w:tcBorders>
          </w:tcPr>
          <w:p>
            <w:pPr>
              <w:wordWrap w:val="0"/>
              <w:jc w:val="center"/>
              <w:rPr>
                <w:rFonts w:ascii="宋体" w:hAnsi="宋体" w:cs="宋体" w:hint="eastAsia"/>
                <w:szCs w:val="21"/>
              </w:rPr>
            </w:pPr>
            <w:r>
              <w:rPr>
                <w:rFonts w:ascii="宋体" w:hAnsi="宋体" w:cs="宋体" w:hint="eastAsia"/>
                <w:szCs w:val="21"/>
              </w:rPr>
              <w:t>1</w:t>
            </w:r>
          </w:p>
        </w:tc>
        <w:tc>
          <w:tcPr>
            <w:tcW w:w="1406" w:type="pct"/>
            <w:tcBorders>
              <w:top w:val="single" w:sz="8" w:space="0" w:color="000000"/>
              <w:left w:val="single" w:sz="8" w:space="0" w:color="000000"/>
              <w:bottom w:val="single" w:sz="8" w:space="0" w:color="000000"/>
              <w:right w:val="single" w:sz="8" w:space="0" w:color="000000"/>
            </w:tcBorders>
          </w:tcPr>
          <w:p>
            <w:pPr>
              <w:wordWrap w:val="0"/>
              <w:rPr>
                <w:rFonts w:ascii="宋体" w:hAnsi="宋体" w:cs="宋体" w:hint="eastAsia"/>
                <w:szCs w:val="21"/>
              </w:rPr>
            </w:pPr>
            <w:r>
              <w:rPr>
                <w:rFonts w:ascii="宋体" w:hAnsi="宋体" w:cs="宋体" w:hint="eastAsia"/>
                <w:szCs w:val="21"/>
              </w:rPr>
              <w:t>技术保障措施</w:t>
            </w:r>
          </w:p>
        </w:tc>
        <w:tc>
          <w:tcPr>
            <w:tcW w:w="531" w:type="pct"/>
            <w:tcBorders>
              <w:top w:val="single" w:sz="8" w:space="0" w:color="000000"/>
              <w:left w:val="single" w:sz="8" w:space="0" w:color="000000"/>
              <w:bottom w:val="single" w:sz="8" w:space="0" w:color="000000"/>
              <w:right w:val="single" w:sz="8" w:space="0" w:color="000000"/>
            </w:tcBorders>
          </w:tcPr>
          <w:p>
            <w:pPr>
              <w:wordWrap w:val="0"/>
              <w:jc w:val="center"/>
              <w:rPr>
                <w:rFonts w:ascii="宋体" w:hAnsi="宋体" w:cs="宋体" w:hint="eastAsia"/>
                <w:szCs w:val="21"/>
              </w:rPr>
            </w:pPr>
            <w:r>
              <w:rPr>
                <w:rFonts w:ascii="宋体" w:hAnsi="宋体" w:cs="宋体" w:hint="eastAsia"/>
                <w:szCs w:val="21"/>
              </w:rPr>
              <w:t>3</w:t>
            </w:r>
          </w:p>
        </w:tc>
        <w:tc>
          <w:tcPr>
            <w:tcW w:w="2313" w:type="pct"/>
            <w:tcBorders>
              <w:top w:val="single" w:sz="8" w:space="0" w:color="000000"/>
              <w:left w:val="single" w:sz="8" w:space="0" w:color="000000"/>
              <w:bottom w:val="single" w:sz="8" w:space="0" w:color="000000"/>
              <w:right w:val="single" w:sz="8" w:space="0" w:color="000000"/>
            </w:tcBorders>
          </w:tcPr>
          <w:p>
            <w:pPr>
              <w:widowControl/>
              <w:rPr>
                <w:rFonts w:ascii="宋体" w:hAnsi="宋体" w:cs="宋体" w:hint="eastAsia"/>
                <w:szCs w:val="21"/>
              </w:rPr>
            </w:pPr>
            <w:r>
              <w:rPr>
                <w:rFonts w:ascii="宋体" w:hAnsi="宋体" w:cs="宋体" w:hint="eastAsia"/>
                <w:szCs w:val="21"/>
              </w:rPr>
              <w:t>评审内容（考察点）：</w:t>
            </w:r>
          </w:p>
          <w:p>
            <w:pPr>
              <w:widowControl/>
              <w:rPr>
                <w:rFonts w:ascii="宋体" w:hAnsi="宋体" w:cs="宋体" w:hint="eastAsia"/>
                <w:szCs w:val="21"/>
              </w:rPr>
            </w:pPr>
            <w:r>
              <w:rPr>
                <w:rFonts w:ascii="宋体" w:hAnsi="宋体" w:cs="宋体" w:hint="eastAsia"/>
                <w:szCs w:val="21"/>
              </w:rPr>
              <w:t>在投标文件中投标人需充分说明技术保障措施，包括</w:t>
            </w:r>
          </w:p>
          <w:p>
            <w:pPr>
              <w:widowControl/>
              <w:numPr>
                <w:ilvl w:val="0"/>
                <w:numId w:val="3"/>
              </w:numPr>
              <w:tabs>
                <w:tab w:val="left" w:pos="312"/>
              </w:tabs>
              <w:rPr>
                <w:rFonts w:ascii="宋体" w:hAnsi="宋体" w:cs="宋体" w:hint="eastAsia"/>
                <w:szCs w:val="21"/>
              </w:rPr>
            </w:pPr>
            <w:r>
              <w:rPr>
                <w:rFonts w:ascii="宋体" w:hAnsi="宋体" w:cs="宋体" w:hint="eastAsia"/>
                <w:szCs w:val="21"/>
              </w:rPr>
              <w:t>项目组织管理方案；</w:t>
            </w:r>
          </w:p>
          <w:p>
            <w:pPr>
              <w:widowControl/>
              <w:numPr>
                <w:ilvl w:val="0"/>
                <w:numId w:val="3"/>
              </w:numPr>
              <w:tabs>
                <w:tab w:val="left" w:pos="312"/>
              </w:tabs>
              <w:rPr>
                <w:rFonts w:ascii="宋体" w:hAnsi="宋体" w:cs="宋体" w:hint="eastAsia"/>
                <w:szCs w:val="21"/>
              </w:rPr>
            </w:pPr>
            <w:r>
              <w:rPr>
                <w:rFonts w:ascii="宋体" w:hAnsi="宋体" w:cs="宋体" w:hint="eastAsia"/>
                <w:szCs w:val="21"/>
              </w:rPr>
              <w:t>项目进度计划；</w:t>
            </w:r>
          </w:p>
          <w:p>
            <w:pPr>
              <w:widowControl/>
              <w:numPr>
                <w:ilvl w:val="0"/>
                <w:numId w:val="3"/>
              </w:numPr>
              <w:tabs>
                <w:tab w:val="left" w:pos="312"/>
              </w:tabs>
              <w:rPr>
                <w:rFonts w:ascii="宋体" w:hAnsi="宋体" w:cs="宋体" w:hint="eastAsia"/>
                <w:szCs w:val="21"/>
              </w:rPr>
            </w:pPr>
            <w:r>
              <w:rPr>
                <w:rFonts w:ascii="宋体" w:hAnsi="宋体" w:cs="宋体" w:hint="eastAsia"/>
                <w:szCs w:val="21"/>
              </w:rPr>
              <w:t>项目质量控制措施；</w:t>
            </w:r>
          </w:p>
          <w:p>
            <w:pPr>
              <w:widowControl/>
              <w:numPr>
                <w:ilvl w:val="0"/>
                <w:numId w:val="3"/>
              </w:numPr>
              <w:tabs>
                <w:tab w:val="left" w:pos="312"/>
              </w:tabs>
              <w:rPr>
                <w:rFonts w:ascii="宋体" w:hAnsi="宋体" w:cs="宋体" w:hint="eastAsia"/>
                <w:szCs w:val="21"/>
              </w:rPr>
            </w:pPr>
            <w:r>
              <w:rPr>
                <w:rFonts w:ascii="宋体" w:hAnsi="宋体" w:cs="宋体" w:hint="eastAsia"/>
                <w:szCs w:val="21"/>
              </w:rPr>
              <w:t>项目进度控制措施；</w:t>
            </w:r>
          </w:p>
          <w:p>
            <w:pPr>
              <w:widowControl/>
              <w:numPr>
                <w:ilvl w:val="0"/>
                <w:numId w:val="3"/>
              </w:numPr>
              <w:tabs>
                <w:tab w:val="left" w:pos="312"/>
              </w:tabs>
              <w:rPr>
                <w:rFonts w:ascii="宋体" w:hAnsi="宋体" w:cs="宋体" w:hint="eastAsia"/>
                <w:szCs w:val="21"/>
              </w:rPr>
            </w:pPr>
            <w:r>
              <w:rPr>
                <w:rFonts w:ascii="宋体" w:hAnsi="宋体" w:cs="宋体" w:hint="eastAsia"/>
                <w:szCs w:val="21"/>
              </w:rPr>
              <w:t>项目技术实力。</w:t>
            </w:r>
          </w:p>
          <w:p>
            <w:pPr>
              <w:widowControl/>
              <w:rPr>
                <w:rFonts w:ascii="宋体" w:hAnsi="宋体" w:cs="宋体" w:hint="eastAsia"/>
                <w:szCs w:val="21"/>
              </w:rPr>
            </w:pPr>
            <w:r>
              <w:rPr>
                <w:rFonts w:ascii="宋体" w:hAnsi="宋体" w:cs="宋体" w:hint="eastAsia"/>
                <w:szCs w:val="21"/>
              </w:rPr>
              <w:t>评分标准：</w:t>
            </w:r>
          </w:p>
          <w:p>
            <w:pPr>
              <w:widowControl/>
              <w:rPr>
                <w:rFonts w:ascii="宋体" w:hAnsi="宋体" w:cs="宋体" w:hint="eastAsia"/>
                <w:szCs w:val="21"/>
              </w:rPr>
            </w:pPr>
            <w:r>
              <w:rPr>
                <w:rFonts w:ascii="宋体" w:hAnsi="宋体" w:cs="宋体" w:hint="eastAsia"/>
                <w:szCs w:val="21"/>
              </w:rPr>
              <w:t>1.投标文件满足评审内容情况，本项最高得50分。</w:t>
            </w:r>
          </w:p>
          <w:p>
            <w:pPr>
              <w:widowControl/>
              <w:rPr>
                <w:rFonts w:ascii="宋体" w:hAnsi="宋体" w:cs="宋体" w:hint="eastAsia"/>
                <w:szCs w:val="21"/>
              </w:rPr>
            </w:pPr>
            <w:r>
              <w:rPr>
                <w:rFonts w:ascii="宋体" w:hAnsi="宋体" w:cs="宋体" w:hint="eastAsia"/>
                <w:szCs w:val="21"/>
              </w:rPr>
              <w:t>（1）考察上述5项内容，每达到1项得10分，反之不得分。未提供服务方案的不得分。</w:t>
            </w:r>
          </w:p>
          <w:p>
            <w:pPr>
              <w:widowControl/>
              <w:rPr>
                <w:rFonts w:ascii="宋体" w:hAnsi="宋体" w:cs="宋体" w:hint="eastAsia"/>
                <w:szCs w:val="21"/>
              </w:rPr>
            </w:pPr>
            <w:r>
              <w:rPr>
                <w:rFonts w:ascii="宋体" w:hAnsi="宋体" w:cs="宋体" w:hint="eastAsia"/>
                <w:szCs w:val="21"/>
              </w:rPr>
              <w:t>（2）考察点全部不满足，不得分。</w:t>
            </w:r>
          </w:p>
          <w:p>
            <w:pPr>
              <w:widowControl/>
              <w:rPr>
                <w:rFonts w:ascii="宋体" w:hAnsi="宋体" w:cs="宋体" w:hint="eastAsia"/>
                <w:szCs w:val="21"/>
              </w:rPr>
            </w:pPr>
            <w:r>
              <w:rPr>
                <w:rFonts w:ascii="宋体" w:hAnsi="宋体" w:cs="宋体" w:hint="eastAsia"/>
                <w:szCs w:val="21"/>
              </w:rPr>
              <w:t>2.在此基础上，根据方案整体全面性、具体性、针对性、科学合理性、创新性进行评分，本项最高加50分。</w:t>
            </w:r>
          </w:p>
          <w:p>
            <w:pPr>
              <w:widowControl/>
              <w:rPr>
                <w:rFonts w:ascii="宋体" w:hAnsi="宋体" w:cs="宋体" w:hint="eastAsia"/>
                <w:szCs w:val="21"/>
              </w:rPr>
            </w:pPr>
            <w:r>
              <w:rPr>
                <w:rFonts w:ascii="宋体" w:hAnsi="宋体" w:cs="宋体" w:hint="eastAsia"/>
                <w:szCs w:val="21"/>
              </w:rPr>
              <w:t>（1）投标文件响应内容全面；</w:t>
            </w:r>
          </w:p>
          <w:p>
            <w:pPr>
              <w:widowControl/>
              <w:rPr>
                <w:rFonts w:ascii="宋体" w:hAnsi="宋体" w:cs="宋体" w:hint="eastAsia"/>
                <w:szCs w:val="21"/>
              </w:rPr>
            </w:pPr>
            <w:r>
              <w:rPr>
                <w:rFonts w:ascii="宋体" w:hAnsi="宋体" w:cs="宋体" w:hint="eastAsia"/>
                <w:szCs w:val="21"/>
              </w:rPr>
              <w:t>（2）投标文件响应内容具体；</w:t>
            </w:r>
          </w:p>
          <w:p>
            <w:pPr>
              <w:widowControl/>
              <w:rPr>
                <w:rFonts w:ascii="宋体" w:hAnsi="宋体" w:cs="宋体" w:hint="eastAsia"/>
                <w:szCs w:val="21"/>
              </w:rPr>
            </w:pPr>
            <w:r>
              <w:rPr>
                <w:rFonts w:ascii="宋体" w:hAnsi="宋体" w:cs="宋体" w:hint="eastAsia"/>
                <w:szCs w:val="21"/>
              </w:rPr>
              <w:t>（3）投标文件响应内容针对性强；</w:t>
            </w:r>
          </w:p>
          <w:p>
            <w:pPr>
              <w:widowControl/>
              <w:rPr>
                <w:rFonts w:ascii="宋体" w:hAnsi="宋体" w:cs="宋体" w:hint="eastAsia"/>
                <w:szCs w:val="21"/>
              </w:rPr>
            </w:pPr>
            <w:r>
              <w:rPr>
                <w:rFonts w:ascii="宋体" w:hAnsi="宋体" w:cs="宋体" w:hint="eastAsia"/>
                <w:szCs w:val="21"/>
              </w:rPr>
              <w:t>（4）投标文件响应内容科学合理；</w:t>
            </w:r>
          </w:p>
          <w:p>
            <w:pPr>
              <w:widowControl/>
              <w:rPr>
                <w:rFonts w:ascii="宋体" w:hAnsi="宋体" w:cs="宋体" w:hint="eastAsia"/>
                <w:szCs w:val="21"/>
              </w:rPr>
            </w:pPr>
            <w:r>
              <w:rPr>
                <w:rFonts w:ascii="宋体" w:hAnsi="宋体" w:cs="宋体" w:hint="eastAsia"/>
                <w:szCs w:val="21"/>
              </w:rPr>
              <w:t>（5）投标文件响应内容创新性强。</w:t>
            </w:r>
          </w:p>
          <w:p>
            <w:pPr>
              <w:widowControl/>
              <w:rPr>
                <w:rFonts w:ascii="宋体" w:hAnsi="宋体" w:cs="宋体" w:hint="eastAsia"/>
                <w:szCs w:val="21"/>
              </w:rPr>
            </w:pPr>
            <w:r>
              <w:rPr>
                <w:rFonts w:ascii="宋体" w:hAnsi="宋体" w:cs="宋体" w:hint="eastAsia"/>
                <w:szCs w:val="21"/>
              </w:rPr>
              <w:t>满足以上五项要求的评价为优，加50分。</w:t>
            </w:r>
          </w:p>
          <w:p>
            <w:pPr>
              <w:widowControl/>
              <w:rPr>
                <w:rFonts w:ascii="宋体" w:hAnsi="宋体" w:cs="宋体" w:hint="eastAsia"/>
                <w:szCs w:val="21"/>
              </w:rPr>
            </w:pPr>
            <w:r>
              <w:rPr>
                <w:rFonts w:ascii="宋体" w:hAnsi="宋体" w:cs="宋体" w:hint="eastAsia"/>
                <w:szCs w:val="21"/>
              </w:rPr>
              <w:t>满足以上四项要求的评价为良，加30分。</w:t>
            </w:r>
          </w:p>
          <w:p>
            <w:pPr>
              <w:widowControl/>
              <w:rPr>
                <w:rFonts w:ascii="宋体" w:hAnsi="宋体" w:cs="宋体" w:hint="eastAsia"/>
                <w:szCs w:val="21"/>
              </w:rPr>
            </w:pPr>
            <w:r>
              <w:rPr>
                <w:rFonts w:ascii="宋体" w:hAnsi="宋体" w:cs="宋体" w:hint="eastAsia"/>
                <w:szCs w:val="21"/>
              </w:rPr>
              <w:t>满足以上三项要求的评价为中，加10分。</w:t>
            </w:r>
          </w:p>
          <w:p>
            <w:pPr>
              <w:widowControl/>
              <w:spacing w:line="240" w:lineRule="atLeast"/>
              <w:rPr>
                <w:rFonts w:ascii="宋体" w:hAnsi="宋体" w:cs="宋体" w:hint="eastAsia"/>
                <w:kern w:val="0"/>
                <w:szCs w:val="21"/>
              </w:rPr>
            </w:pPr>
            <w:r>
              <w:rPr>
                <w:rFonts w:ascii="宋体" w:hAnsi="宋体" w:cs="宋体" w:hint="eastAsia"/>
                <w:szCs w:val="21"/>
              </w:rPr>
              <w:t>其它情况的评价为差，不加分。如果评审为差，要求专家书面说明理由，并记录在档。</w:t>
            </w:r>
          </w:p>
        </w:tc>
      </w:tr>
      <w:tr>
        <w:tblPrEx>
          <w:tblW w:w="4998" w:type="pct"/>
          <w:jc w:val="center"/>
          <w:tblCellMar>
            <w:top w:w="20" w:type="dxa"/>
            <w:left w:w="108" w:type="dxa"/>
            <w:bottom w:w="20" w:type="dxa"/>
            <w:right w:w="108" w:type="dxa"/>
          </w:tblCellMar>
          <w:tblLook w:val="0000"/>
        </w:tblPrEx>
        <w:trPr>
          <w:jc w:val="center"/>
        </w:trPr>
        <w:tc>
          <w:tcPr>
            <w:tcW w:w="374" w:type="pct"/>
            <w:vMerge/>
            <w:tcBorders>
              <w:top w:val="single" w:sz="8" w:space="0" w:color="000000"/>
              <w:left w:val="single" w:sz="8" w:space="0" w:color="000000"/>
              <w:bottom w:val="single" w:sz="8" w:space="0" w:color="000000"/>
              <w:right w:val="single" w:sz="8" w:space="0" w:color="000000"/>
            </w:tcBorders>
            <w:vAlign w:val="center"/>
          </w:tcPr>
          <w:p>
            <w:pPr>
              <w:rPr>
                <w:rFonts w:ascii="宋体" w:hAnsi="宋体" w:cs="宋体" w:hint="eastAsia"/>
                <w:b/>
                <w:bCs/>
                <w:color w:val="0000FF"/>
                <w:szCs w:val="21"/>
              </w:rPr>
            </w:pPr>
          </w:p>
        </w:tc>
        <w:tc>
          <w:tcPr>
            <w:tcW w:w="374" w:type="pct"/>
            <w:tcBorders>
              <w:top w:val="single" w:sz="8" w:space="0" w:color="000000"/>
              <w:left w:val="single" w:sz="8" w:space="0" w:color="000000"/>
              <w:bottom w:val="single" w:sz="8" w:space="0" w:color="000000"/>
              <w:right w:val="single" w:sz="8" w:space="0" w:color="000000"/>
            </w:tcBorders>
          </w:tcPr>
          <w:p>
            <w:pPr>
              <w:wordWrap w:val="0"/>
              <w:jc w:val="center"/>
              <w:rPr>
                <w:rFonts w:ascii="宋体" w:hAnsi="宋体" w:cs="宋体" w:hint="eastAsia"/>
                <w:szCs w:val="21"/>
              </w:rPr>
            </w:pPr>
            <w:r>
              <w:rPr>
                <w:rFonts w:ascii="宋体" w:hAnsi="宋体" w:cs="宋体" w:hint="eastAsia"/>
                <w:szCs w:val="21"/>
              </w:rPr>
              <w:t>2</w:t>
            </w:r>
          </w:p>
        </w:tc>
        <w:tc>
          <w:tcPr>
            <w:tcW w:w="1406" w:type="pct"/>
            <w:tcBorders>
              <w:top w:val="single" w:sz="8" w:space="0" w:color="000000"/>
              <w:left w:val="single" w:sz="8" w:space="0" w:color="000000"/>
              <w:bottom w:val="single" w:sz="8" w:space="0" w:color="000000"/>
              <w:right w:val="single" w:sz="8" w:space="0" w:color="000000"/>
            </w:tcBorders>
          </w:tcPr>
          <w:p>
            <w:pPr>
              <w:wordWrap w:val="0"/>
              <w:rPr>
                <w:rFonts w:ascii="宋体" w:hAnsi="宋体" w:cs="宋体" w:hint="eastAsia"/>
                <w:szCs w:val="21"/>
              </w:rPr>
            </w:pPr>
            <w:r>
              <w:rPr>
                <w:rFonts w:ascii="宋体" w:hAnsi="宋体" w:cs="宋体" w:hint="eastAsia"/>
                <w:szCs w:val="21"/>
              </w:rPr>
              <w:t>技术规格偏离情况</w:t>
            </w:r>
          </w:p>
        </w:tc>
        <w:tc>
          <w:tcPr>
            <w:tcW w:w="531" w:type="pct"/>
            <w:tcBorders>
              <w:top w:val="single" w:sz="8" w:space="0" w:color="000000"/>
              <w:left w:val="single" w:sz="8" w:space="0" w:color="000000"/>
              <w:bottom w:val="single" w:sz="8" w:space="0" w:color="000000"/>
              <w:right w:val="single" w:sz="8" w:space="0" w:color="000000"/>
            </w:tcBorders>
          </w:tcPr>
          <w:p>
            <w:pPr>
              <w:wordWrap w:val="0"/>
              <w:jc w:val="center"/>
              <w:rPr>
                <w:rFonts w:ascii="宋体" w:hAnsi="宋体" w:cs="宋体" w:hint="eastAsia"/>
                <w:szCs w:val="21"/>
              </w:rPr>
            </w:pPr>
            <w:r>
              <w:rPr>
                <w:rFonts w:ascii="宋体" w:hAnsi="宋体" w:cs="宋体" w:hint="eastAsia"/>
                <w:szCs w:val="21"/>
              </w:rPr>
              <w:t>52</w:t>
            </w:r>
          </w:p>
        </w:tc>
        <w:tc>
          <w:tcPr>
            <w:tcW w:w="2313" w:type="pct"/>
            <w:tcBorders>
              <w:top w:val="single" w:sz="8" w:space="0" w:color="000000"/>
              <w:left w:val="single" w:sz="8" w:space="0" w:color="000000"/>
              <w:bottom w:val="single" w:sz="8" w:space="0" w:color="000000"/>
              <w:right w:val="single" w:sz="8" w:space="0" w:color="000000"/>
            </w:tcBorders>
          </w:tcPr>
          <w:p>
            <w:pPr>
              <w:wordWrap w:val="0"/>
              <w:rPr>
                <w:rFonts w:ascii="宋体" w:hAnsi="宋体" w:cs="宋体" w:hint="eastAsia"/>
                <w:szCs w:val="21"/>
              </w:rPr>
            </w:pPr>
            <w:r>
              <w:rPr>
                <w:rFonts w:ascii="宋体" w:hAnsi="宋体" w:cs="宋体" w:hint="eastAsia"/>
                <w:szCs w:val="21"/>
              </w:rPr>
              <w:t>投标人应如实填写《技术规格偏离表》，评审委员会根据技术需求参数响应情况进行打分。各项技术参数指标及要求全部满足的得100分，带▲的参数为重要条款，每项负偏离扣5分，其余参数每项负偏离扣3分，扣完为止。</w:t>
            </w:r>
          </w:p>
        </w:tc>
      </w:tr>
      <w:tr>
        <w:tblPrEx>
          <w:tblW w:w="4998" w:type="pct"/>
          <w:jc w:val="center"/>
          <w:tblCellMar>
            <w:top w:w="20" w:type="dxa"/>
            <w:left w:w="108" w:type="dxa"/>
            <w:bottom w:w="20" w:type="dxa"/>
            <w:right w:w="108" w:type="dxa"/>
          </w:tblCellMar>
          <w:tblLook w:val="0000"/>
        </w:tblPrEx>
        <w:trPr>
          <w:jc w:val="center"/>
        </w:trPr>
        <w:tc>
          <w:tcPr>
            <w:tcW w:w="374" w:type="pct"/>
            <w:vMerge w:val="restart"/>
            <w:tcBorders>
              <w:top w:val="single" w:sz="8" w:space="0" w:color="000000"/>
              <w:left w:val="single" w:sz="8" w:space="0" w:color="000000"/>
              <w:bottom w:val="single" w:sz="8" w:space="0" w:color="000000"/>
              <w:right w:val="single" w:sz="8" w:space="0" w:color="000000"/>
            </w:tcBorders>
          </w:tcPr>
          <w:p>
            <w:pPr>
              <w:wordWrap w:val="0"/>
              <w:jc w:val="center"/>
              <w:rPr>
                <w:rFonts w:ascii="宋体" w:hAnsi="宋体" w:cs="宋体" w:hint="eastAsia"/>
                <w:b/>
                <w:bCs/>
                <w:color w:val="0000FF"/>
                <w:szCs w:val="21"/>
              </w:rPr>
            </w:pPr>
            <w:r>
              <w:rPr>
                <w:rFonts w:ascii="宋体" w:hAnsi="宋体" w:cs="宋体" w:hint="eastAsia"/>
                <w:b/>
                <w:bCs/>
                <w:color w:val="0000FF"/>
                <w:szCs w:val="21"/>
              </w:rPr>
              <w:t>3</w:t>
            </w:r>
          </w:p>
        </w:tc>
        <w:tc>
          <w:tcPr>
            <w:tcW w:w="2312" w:type="pct"/>
            <w:gridSpan w:val="3"/>
            <w:tcBorders>
              <w:top w:val="single" w:sz="8" w:space="0" w:color="000000"/>
              <w:left w:val="single" w:sz="8" w:space="0" w:color="000000"/>
              <w:bottom w:val="single" w:sz="8" w:space="0" w:color="000000"/>
              <w:right w:val="single" w:sz="8" w:space="0" w:color="000000"/>
            </w:tcBorders>
          </w:tcPr>
          <w:p>
            <w:pPr>
              <w:wordWrap w:val="0"/>
              <w:jc w:val="center"/>
              <w:rPr>
                <w:rFonts w:ascii="宋体" w:hAnsi="宋体" w:cs="宋体" w:hint="eastAsia"/>
                <w:b/>
                <w:bCs/>
                <w:color w:val="0000FF"/>
                <w:szCs w:val="21"/>
              </w:rPr>
            </w:pPr>
            <w:r>
              <w:rPr>
                <w:rFonts w:ascii="宋体" w:hAnsi="宋体" w:cs="宋体" w:hint="eastAsia"/>
                <w:b/>
                <w:bCs/>
                <w:color w:val="0000FF"/>
                <w:szCs w:val="21"/>
              </w:rPr>
              <w:t>商务部分</w:t>
            </w:r>
          </w:p>
        </w:tc>
        <w:tc>
          <w:tcPr>
            <w:tcW w:w="2313" w:type="pct"/>
            <w:tcBorders>
              <w:top w:val="single" w:sz="8" w:space="0" w:color="000000"/>
              <w:left w:val="single" w:sz="8" w:space="0" w:color="000000"/>
              <w:bottom w:val="single" w:sz="8" w:space="0" w:color="000000"/>
              <w:right w:val="single" w:sz="8" w:space="0" w:color="000000"/>
            </w:tcBorders>
          </w:tcPr>
          <w:p>
            <w:pPr>
              <w:wordWrap w:val="0"/>
              <w:jc w:val="center"/>
              <w:rPr>
                <w:rFonts w:ascii="宋体" w:hAnsi="宋体" w:cs="宋体"/>
                <w:b/>
                <w:bCs/>
                <w:color w:val="0000FF"/>
                <w:szCs w:val="21"/>
              </w:rPr>
            </w:pPr>
            <w:r>
              <w:rPr>
                <w:rFonts w:ascii="宋体" w:hAnsi="宋体" w:cs="宋体" w:hint="eastAsia"/>
                <w:b/>
                <w:bCs/>
                <w:color w:val="0000FF"/>
                <w:szCs w:val="21"/>
              </w:rPr>
              <w:t>15</w:t>
            </w:r>
          </w:p>
        </w:tc>
      </w:tr>
      <w:tr>
        <w:tblPrEx>
          <w:tblW w:w="4998" w:type="pct"/>
          <w:jc w:val="center"/>
          <w:tblCellMar>
            <w:top w:w="20" w:type="dxa"/>
            <w:left w:w="108" w:type="dxa"/>
            <w:bottom w:w="20" w:type="dxa"/>
            <w:right w:w="108" w:type="dxa"/>
          </w:tblCellMar>
          <w:tblLook w:val="0000"/>
        </w:tblPrEx>
        <w:trPr>
          <w:jc w:val="center"/>
        </w:trPr>
        <w:tc>
          <w:tcPr>
            <w:tcW w:w="374" w:type="pct"/>
            <w:vMerge/>
            <w:tcBorders>
              <w:top w:val="single" w:sz="8" w:space="0" w:color="000000"/>
              <w:left w:val="single" w:sz="8" w:space="0" w:color="000000"/>
              <w:bottom w:val="single" w:sz="8" w:space="0" w:color="000000"/>
              <w:right w:val="single" w:sz="8" w:space="0" w:color="000000"/>
            </w:tcBorders>
            <w:shd w:val="clear" w:color="auto" w:fill="E6EFFA"/>
            <w:vAlign w:val="center"/>
          </w:tcPr>
          <w:p>
            <w:pPr>
              <w:rPr>
                <w:rFonts w:ascii="宋体" w:hAnsi="宋体" w:cs="宋体" w:hint="eastAsia"/>
                <w:b/>
                <w:bCs/>
                <w:color w:val="0000FF"/>
                <w:szCs w:val="21"/>
              </w:rPr>
            </w:pPr>
          </w:p>
        </w:tc>
        <w:tc>
          <w:tcPr>
            <w:tcW w:w="374" w:type="pct"/>
            <w:tcBorders>
              <w:top w:val="outset" w:sz="6" w:space="0" w:color="000000"/>
              <w:left w:val="outset" w:sz="6" w:space="0" w:color="000000"/>
              <w:bottom w:val="outset" w:sz="6" w:space="0" w:color="000000"/>
              <w:right w:val="outset" w:sz="6" w:space="0" w:color="000000"/>
            </w:tcBorders>
            <w:shd w:val="clear" w:color="auto" w:fill="E6EFFA"/>
            <w:vAlign w:val="center"/>
          </w:tcPr>
          <w:p>
            <w:pPr>
              <w:wordWrap w:val="0"/>
              <w:jc w:val="center"/>
              <w:rPr>
                <w:rFonts w:ascii="宋体" w:hAnsi="宋体" w:cs="宋体" w:hint="eastAsia"/>
                <w:szCs w:val="21"/>
              </w:rPr>
            </w:pPr>
            <w:r>
              <w:rPr>
                <w:rFonts w:ascii="宋体" w:hAnsi="宋体" w:cs="宋体" w:hint="eastAsia"/>
                <w:szCs w:val="21"/>
              </w:rPr>
              <w:t>序号</w:t>
            </w:r>
          </w:p>
        </w:tc>
        <w:tc>
          <w:tcPr>
            <w:tcW w:w="1406" w:type="pct"/>
            <w:tcBorders>
              <w:top w:val="outset" w:sz="6" w:space="0" w:color="000000"/>
              <w:left w:val="outset" w:sz="6" w:space="0" w:color="000000"/>
              <w:bottom w:val="outset" w:sz="6" w:space="0" w:color="000000"/>
              <w:right w:val="outset" w:sz="6" w:space="0" w:color="000000"/>
            </w:tcBorders>
            <w:shd w:val="clear" w:color="auto" w:fill="E6EFFA"/>
            <w:vAlign w:val="center"/>
          </w:tcPr>
          <w:p>
            <w:pPr>
              <w:wordWrap w:val="0"/>
              <w:jc w:val="center"/>
              <w:rPr>
                <w:rFonts w:ascii="宋体" w:hAnsi="宋体" w:cs="宋体" w:hint="eastAsia"/>
                <w:szCs w:val="21"/>
              </w:rPr>
            </w:pPr>
            <w:r>
              <w:rPr>
                <w:rFonts w:ascii="宋体" w:hAnsi="宋体" w:cs="宋体" w:hint="eastAsia"/>
                <w:szCs w:val="21"/>
              </w:rPr>
              <w:t>评分因素</w:t>
            </w:r>
          </w:p>
        </w:tc>
        <w:tc>
          <w:tcPr>
            <w:tcW w:w="531" w:type="pct"/>
            <w:tcBorders>
              <w:top w:val="outset" w:sz="6" w:space="0" w:color="000000"/>
              <w:left w:val="outset" w:sz="6" w:space="0" w:color="000000"/>
              <w:bottom w:val="outset" w:sz="6" w:space="0" w:color="000000"/>
              <w:right w:val="outset" w:sz="6" w:space="0" w:color="000000"/>
            </w:tcBorders>
            <w:shd w:val="clear" w:color="auto" w:fill="E6EFFA"/>
            <w:vAlign w:val="center"/>
          </w:tcPr>
          <w:p>
            <w:pPr>
              <w:wordWrap w:val="0"/>
              <w:jc w:val="center"/>
              <w:rPr>
                <w:rFonts w:ascii="宋体" w:hAnsi="宋体" w:cs="宋体" w:hint="eastAsia"/>
                <w:szCs w:val="21"/>
              </w:rPr>
            </w:pPr>
            <w:r>
              <w:rPr>
                <w:rFonts w:ascii="宋体" w:hAnsi="宋体" w:cs="宋体" w:hint="eastAsia"/>
                <w:szCs w:val="21"/>
              </w:rPr>
              <w:t>权重</w:t>
            </w:r>
          </w:p>
        </w:tc>
        <w:tc>
          <w:tcPr>
            <w:tcW w:w="2313" w:type="pct"/>
            <w:tcBorders>
              <w:top w:val="outset" w:sz="6" w:space="0" w:color="000000"/>
              <w:left w:val="outset" w:sz="6" w:space="0" w:color="000000"/>
              <w:bottom w:val="outset" w:sz="6" w:space="0" w:color="000000"/>
              <w:right w:val="outset" w:sz="6" w:space="0" w:color="000000"/>
            </w:tcBorders>
            <w:shd w:val="clear" w:color="auto" w:fill="E6EFFA"/>
            <w:vAlign w:val="center"/>
          </w:tcPr>
          <w:p>
            <w:pPr>
              <w:wordWrap w:val="0"/>
              <w:jc w:val="center"/>
              <w:rPr>
                <w:rFonts w:ascii="宋体" w:hAnsi="宋体" w:cs="宋体" w:hint="eastAsia"/>
                <w:szCs w:val="21"/>
              </w:rPr>
            </w:pPr>
            <w:r>
              <w:rPr>
                <w:rFonts w:ascii="宋体" w:hAnsi="宋体" w:cs="宋体" w:hint="eastAsia"/>
                <w:szCs w:val="21"/>
              </w:rPr>
              <w:t>评分准则</w:t>
            </w:r>
          </w:p>
        </w:tc>
      </w:tr>
      <w:tr>
        <w:tblPrEx>
          <w:tblW w:w="4998" w:type="pct"/>
          <w:jc w:val="center"/>
          <w:tblCellMar>
            <w:top w:w="20" w:type="dxa"/>
            <w:left w:w="108" w:type="dxa"/>
            <w:bottom w:w="20" w:type="dxa"/>
            <w:right w:w="108" w:type="dxa"/>
          </w:tblCellMar>
          <w:tblLook w:val="0000"/>
        </w:tblPrEx>
        <w:trPr>
          <w:jc w:val="center"/>
        </w:trPr>
        <w:tc>
          <w:tcPr>
            <w:tcW w:w="374" w:type="pct"/>
            <w:vMerge/>
            <w:tcBorders>
              <w:top w:val="single" w:sz="8" w:space="0" w:color="000000"/>
              <w:left w:val="single" w:sz="8" w:space="0" w:color="000000"/>
              <w:bottom w:val="single" w:sz="8" w:space="0" w:color="000000"/>
              <w:right w:val="single" w:sz="8" w:space="0" w:color="000000"/>
            </w:tcBorders>
            <w:vAlign w:val="center"/>
          </w:tcPr>
          <w:p>
            <w:pPr>
              <w:rPr>
                <w:rFonts w:ascii="宋体" w:hAnsi="宋体" w:cs="宋体" w:hint="eastAsia"/>
                <w:b/>
                <w:bCs/>
                <w:color w:val="0000FF"/>
                <w:szCs w:val="21"/>
              </w:rPr>
            </w:pPr>
          </w:p>
        </w:tc>
        <w:tc>
          <w:tcPr>
            <w:tcW w:w="374" w:type="pct"/>
            <w:tcBorders>
              <w:top w:val="single" w:sz="8" w:space="0" w:color="000000"/>
              <w:left w:val="single" w:sz="8" w:space="0" w:color="000000"/>
              <w:bottom w:val="single" w:sz="8" w:space="0" w:color="000000"/>
              <w:right w:val="single" w:sz="8" w:space="0" w:color="000000"/>
            </w:tcBorders>
          </w:tcPr>
          <w:p>
            <w:pPr>
              <w:wordWrap w:val="0"/>
              <w:jc w:val="center"/>
              <w:rPr>
                <w:rFonts w:ascii="宋体" w:hAnsi="宋体" w:cs="宋体" w:hint="eastAsia"/>
                <w:szCs w:val="21"/>
              </w:rPr>
            </w:pPr>
            <w:r>
              <w:rPr>
                <w:rFonts w:ascii="宋体" w:hAnsi="宋体" w:cs="宋体" w:hint="eastAsia"/>
                <w:szCs w:val="21"/>
              </w:rPr>
              <w:t>1</w:t>
            </w:r>
          </w:p>
        </w:tc>
        <w:tc>
          <w:tcPr>
            <w:tcW w:w="1406" w:type="pct"/>
            <w:tcBorders>
              <w:top w:val="single" w:sz="8" w:space="0" w:color="000000"/>
              <w:left w:val="single" w:sz="8" w:space="0" w:color="000000"/>
              <w:bottom w:val="single" w:sz="8" w:space="0" w:color="000000"/>
              <w:right w:val="single" w:sz="8" w:space="0" w:color="000000"/>
            </w:tcBorders>
          </w:tcPr>
          <w:p>
            <w:pPr>
              <w:wordWrap w:val="0"/>
              <w:rPr>
                <w:rFonts w:ascii="宋体" w:hAnsi="宋体" w:cs="宋体" w:hint="eastAsia"/>
                <w:szCs w:val="21"/>
              </w:rPr>
            </w:pPr>
            <w:r>
              <w:rPr>
                <w:rFonts w:ascii="宋体" w:hAnsi="宋体" w:cs="宋体" w:hint="eastAsia"/>
                <w:szCs w:val="21"/>
              </w:rPr>
              <w:t>免费保修期内售后服务条款偏离情况</w:t>
            </w:r>
          </w:p>
        </w:tc>
        <w:tc>
          <w:tcPr>
            <w:tcW w:w="531" w:type="pct"/>
            <w:tcBorders>
              <w:top w:val="single" w:sz="8" w:space="0" w:color="000000"/>
              <w:left w:val="single" w:sz="8" w:space="0" w:color="000000"/>
              <w:bottom w:val="single" w:sz="8" w:space="0" w:color="000000"/>
              <w:right w:val="single" w:sz="8" w:space="0" w:color="000000"/>
            </w:tcBorders>
          </w:tcPr>
          <w:p>
            <w:pPr>
              <w:wordWrap w:val="0"/>
              <w:jc w:val="center"/>
              <w:rPr>
                <w:rFonts w:ascii="宋体" w:hAnsi="宋体" w:cs="宋体" w:hint="eastAsia"/>
                <w:szCs w:val="21"/>
              </w:rPr>
            </w:pPr>
            <w:r>
              <w:rPr>
                <w:rFonts w:ascii="宋体" w:hAnsi="宋体" w:cs="宋体" w:hint="eastAsia"/>
                <w:szCs w:val="21"/>
              </w:rPr>
              <w:t>4</w:t>
            </w:r>
          </w:p>
        </w:tc>
        <w:tc>
          <w:tcPr>
            <w:tcW w:w="2313" w:type="pct"/>
            <w:tcBorders>
              <w:top w:val="single" w:sz="8" w:space="0" w:color="000000"/>
              <w:left w:val="single" w:sz="8" w:space="0" w:color="000000"/>
              <w:bottom w:val="single" w:sz="8" w:space="0" w:color="000000"/>
              <w:right w:val="single" w:sz="8" w:space="0" w:color="000000"/>
            </w:tcBorders>
          </w:tcPr>
          <w:p>
            <w:pPr>
              <w:wordWrap w:val="0"/>
              <w:rPr>
                <w:rFonts w:ascii="宋体" w:hAnsi="宋体" w:cs="宋体" w:hint="eastAsia"/>
                <w:szCs w:val="21"/>
              </w:rPr>
            </w:pPr>
            <w:r>
              <w:rPr>
                <w:rFonts w:ascii="宋体" w:hAnsi="宋体" w:cs="宋体" w:hint="eastAsia"/>
                <w:szCs w:val="21"/>
              </w:rPr>
              <w:t>投标人应如实填写《商务条款偏离表》，评审委员会根据响应情况进行打分，全部满足要求的得100分，每负偏离一项扣100分，扣完为止。</w:t>
            </w:r>
          </w:p>
        </w:tc>
      </w:tr>
      <w:tr>
        <w:tblPrEx>
          <w:tblW w:w="4998" w:type="pct"/>
          <w:jc w:val="center"/>
          <w:tblCellMar>
            <w:top w:w="20" w:type="dxa"/>
            <w:left w:w="108" w:type="dxa"/>
            <w:bottom w:w="20" w:type="dxa"/>
            <w:right w:w="108" w:type="dxa"/>
          </w:tblCellMar>
          <w:tblLook w:val="0000"/>
        </w:tblPrEx>
        <w:trPr>
          <w:jc w:val="center"/>
        </w:trPr>
        <w:tc>
          <w:tcPr>
            <w:tcW w:w="374" w:type="pct"/>
            <w:vMerge/>
            <w:tcBorders>
              <w:top w:val="single" w:sz="8" w:space="0" w:color="000000"/>
              <w:left w:val="single" w:sz="8" w:space="0" w:color="000000"/>
              <w:bottom w:val="single" w:sz="8" w:space="0" w:color="000000"/>
              <w:right w:val="single" w:sz="8" w:space="0" w:color="000000"/>
            </w:tcBorders>
            <w:vAlign w:val="center"/>
          </w:tcPr>
          <w:p>
            <w:pPr>
              <w:rPr>
                <w:rFonts w:ascii="宋体" w:hAnsi="宋体" w:cs="宋体" w:hint="eastAsia"/>
                <w:b/>
                <w:bCs/>
                <w:color w:val="0000FF"/>
                <w:szCs w:val="21"/>
              </w:rPr>
            </w:pPr>
          </w:p>
        </w:tc>
        <w:tc>
          <w:tcPr>
            <w:tcW w:w="374" w:type="pct"/>
            <w:tcBorders>
              <w:top w:val="single" w:sz="8" w:space="0" w:color="000000"/>
              <w:left w:val="single" w:sz="8" w:space="0" w:color="000000"/>
              <w:bottom w:val="single" w:sz="8" w:space="0" w:color="000000"/>
              <w:right w:val="single" w:sz="8" w:space="0" w:color="000000"/>
            </w:tcBorders>
          </w:tcPr>
          <w:p>
            <w:pPr>
              <w:wordWrap w:val="0"/>
              <w:jc w:val="center"/>
              <w:rPr>
                <w:rFonts w:ascii="宋体" w:hAnsi="宋体" w:cs="宋体" w:hint="eastAsia"/>
                <w:szCs w:val="21"/>
              </w:rPr>
            </w:pPr>
            <w:r>
              <w:rPr>
                <w:rFonts w:ascii="宋体" w:hAnsi="宋体" w:cs="宋体" w:hint="eastAsia"/>
                <w:szCs w:val="21"/>
              </w:rPr>
              <w:t>2</w:t>
            </w:r>
          </w:p>
        </w:tc>
        <w:tc>
          <w:tcPr>
            <w:tcW w:w="1406" w:type="pct"/>
            <w:tcBorders>
              <w:top w:val="single" w:sz="8" w:space="0" w:color="000000"/>
              <w:left w:val="single" w:sz="8" w:space="0" w:color="000000"/>
              <w:bottom w:val="single" w:sz="8" w:space="0" w:color="000000"/>
              <w:right w:val="single" w:sz="8" w:space="0" w:color="000000"/>
            </w:tcBorders>
          </w:tcPr>
          <w:p>
            <w:pPr>
              <w:wordWrap w:val="0"/>
              <w:rPr>
                <w:rFonts w:ascii="宋体" w:hAnsi="宋体" w:cs="宋体" w:hint="eastAsia"/>
                <w:szCs w:val="21"/>
              </w:rPr>
            </w:pPr>
            <w:r>
              <w:rPr>
                <w:rFonts w:ascii="宋体" w:hAnsi="宋体" w:cs="宋体" w:hint="eastAsia"/>
                <w:szCs w:val="21"/>
              </w:rPr>
              <w:t>其他商务条款偏离情况</w:t>
            </w:r>
          </w:p>
        </w:tc>
        <w:tc>
          <w:tcPr>
            <w:tcW w:w="531" w:type="pct"/>
            <w:tcBorders>
              <w:top w:val="single" w:sz="8" w:space="0" w:color="000000"/>
              <w:left w:val="single" w:sz="8" w:space="0" w:color="000000"/>
              <w:bottom w:val="single" w:sz="8" w:space="0" w:color="000000"/>
              <w:right w:val="single" w:sz="8" w:space="0" w:color="000000"/>
            </w:tcBorders>
          </w:tcPr>
          <w:p>
            <w:pPr>
              <w:wordWrap w:val="0"/>
              <w:jc w:val="center"/>
              <w:rPr>
                <w:rFonts w:ascii="宋体" w:hAnsi="宋体" w:cs="宋体" w:hint="eastAsia"/>
                <w:szCs w:val="21"/>
              </w:rPr>
            </w:pPr>
            <w:r>
              <w:rPr>
                <w:rFonts w:ascii="宋体" w:hAnsi="宋体" w:cs="宋体" w:hint="eastAsia"/>
                <w:szCs w:val="21"/>
              </w:rPr>
              <w:t>3</w:t>
            </w:r>
          </w:p>
        </w:tc>
        <w:tc>
          <w:tcPr>
            <w:tcW w:w="2313" w:type="pct"/>
            <w:tcBorders>
              <w:top w:val="single" w:sz="8" w:space="0" w:color="000000"/>
              <w:left w:val="single" w:sz="8" w:space="0" w:color="000000"/>
              <w:bottom w:val="single" w:sz="8" w:space="0" w:color="000000"/>
              <w:right w:val="single" w:sz="8" w:space="0" w:color="000000"/>
            </w:tcBorders>
          </w:tcPr>
          <w:p>
            <w:pPr>
              <w:wordWrap w:val="0"/>
              <w:rPr>
                <w:rFonts w:ascii="宋体" w:hAnsi="宋体" w:cs="宋体" w:hint="eastAsia"/>
                <w:szCs w:val="21"/>
              </w:rPr>
            </w:pPr>
            <w:r>
              <w:rPr>
                <w:rFonts w:ascii="宋体" w:hAnsi="宋体" w:cs="宋体" w:hint="eastAsia"/>
                <w:szCs w:val="21"/>
              </w:rPr>
              <w:t>投标人应如实填写《商务条款偏离表》，评审委员会根据响应情况进行打分，全部满足要求的得100分，每负偏离一项扣20分，扣完为止。</w:t>
            </w:r>
          </w:p>
        </w:tc>
      </w:tr>
      <w:tr>
        <w:tblPrEx>
          <w:tblW w:w="4998" w:type="pct"/>
          <w:jc w:val="center"/>
          <w:tblCellMar>
            <w:top w:w="20" w:type="dxa"/>
            <w:left w:w="108" w:type="dxa"/>
            <w:bottom w:w="20" w:type="dxa"/>
            <w:right w:w="108" w:type="dxa"/>
          </w:tblCellMar>
          <w:tblLook w:val="0000"/>
        </w:tblPrEx>
        <w:trPr>
          <w:jc w:val="center"/>
        </w:trPr>
        <w:tc>
          <w:tcPr>
            <w:tcW w:w="374" w:type="pct"/>
            <w:vMerge/>
            <w:tcBorders>
              <w:top w:val="single" w:sz="8" w:space="0" w:color="000000"/>
              <w:left w:val="single" w:sz="8" w:space="0" w:color="000000"/>
              <w:bottom w:val="single" w:sz="8" w:space="0" w:color="000000"/>
              <w:right w:val="single" w:sz="8" w:space="0" w:color="000000"/>
            </w:tcBorders>
            <w:vAlign w:val="center"/>
          </w:tcPr>
          <w:p>
            <w:pPr>
              <w:rPr>
                <w:rFonts w:ascii="宋体" w:hAnsi="宋体" w:cs="宋体" w:hint="eastAsia"/>
                <w:b/>
                <w:bCs/>
                <w:color w:val="0000FF"/>
                <w:szCs w:val="21"/>
              </w:rPr>
            </w:pPr>
          </w:p>
        </w:tc>
        <w:tc>
          <w:tcPr>
            <w:tcW w:w="374" w:type="pct"/>
            <w:tcBorders>
              <w:top w:val="single" w:sz="8" w:space="0" w:color="000000"/>
              <w:left w:val="single" w:sz="8" w:space="0" w:color="000000"/>
              <w:bottom w:val="single" w:sz="8" w:space="0" w:color="000000"/>
              <w:right w:val="single" w:sz="8" w:space="0" w:color="000000"/>
            </w:tcBorders>
          </w:tcPr>
          <w:p>
            <w:pPr>
              <w:wordWrap w:val="0"/>
              <w:jc w:val="center"/>
              <w:rPr>
                <w:rFonts w:ascii="宋体" w:hAnsi="宋体" w:cs="宋体" w:hint="eastAsia"/>
                <w:szCs w:val="21"/>
              </w:rPr>
            </w:pPr>
            <w:r>
              <w:rPr>
                <w:rFonts w:ascii="宋体" w:hAnsi="宋体" w:cs="宋体" w:hint="eastAsia"/>
                <w:szCs w:val="21"/>
              </w:rPr>
              <w:t>3</w:t>
            </w:r>
          </w:p>
        </w:tc>
        <w:tc>
          <w:tcPr>
            <w:tcW w:w="1406" w:type="pct"/>
            <w:tcBorders>
              <w:top w:val="single" w:sz="8" w:space="0" w:color="000000"/>
              <w:left w:val="single" w:sz="8" w:space="0" w:color="000000"/>
              <w:bottom w:val="single" w:sz="8" w:space="0" w:color="000000"/>
              <w:right w:val="single" w:sz="8" w:space="0" w:color="000000"/>
            </w:tcBorders>
          </w:tcPr>
          <w:p>
            <w:pPr>
              <w:wordWrap w:val="0"/>
              <w:rPr>
                <w:rFonts w:ascii="宋体" w:hAnsi="宋体" w:cs="宋体" w:hint="eastAsia"/>
                <w:szCs w:val="21"/>
              </w:rPr>
            </w:pPr>
            <w:r>
              <w:rPr>
                <w:rFonts w:ascii="宋体" w:hAnsi="宋体" w:cs="宋体" w:hint="eastAsia"/>
                <w:szCs w:val="21"/>
              </w:rPr>
              <w:t>投标人近三年同类业绩（截止日为本项目公告发布之日）</w:t>
            </w:r>
          </w:p>
        </w:tc>
        <w:tc>
          <w:tcPr>
            <w:tcW w:w="531" w:type="pct"/>
            <w:tcBorders>
              <w:top w:val="single" w:sz="8" w:space="0" w:color="000000"/>
              <w:left w:val="single" w:sz="8" w:space="0" w:color="000000"/>
              <w:bottom w:val="single" w:sz="8" w:space="0" w:color="000000"/>
              <w:right w:val="single" w:sz="8" w:space="0" w:color="000000"/>
            </w:tcBorders>
          </w:tcPr>
          <w:p>
            <w:pPr>
              <w:wordWrap w:val="0"/>
              <w:jc w:val="center"/>
              <w:rPr>
                <w:rFonts w:ascii="宋体" w:hAnsi="宋体" w:cs="宋体" w:hint="eastAsia"/>
                <w:szCs w:val="21"/>
              </w:rPr>
            </w:pPr>
            <w:r>
              <w:rPr>
                <w:rFonts w:ascii="宋体" w:hAnsi="宋体" w:cs="宋体" w:hint="eastAsia"/>
                <w:szCs w:val="21"/>
              </w:rPr>
              <w:t>3</w:t>
            </w:r>
          </w:p>
        </w:tc>
        <w:tc>
          <w:tcPr>
            <w:tcW w:w="2313" w:type="pct"/>
            <w:tcBorders>
              <w:top w:val="single" w:sz="8" w:space="0" w:color="000000"/>
              <w:left w:val="single" w:sz="8" w:space="0" w:color="000000"/>
              <w:bottom w:val="single" w:sz="8" w:space="0" w:color="000000"/>
              <w:right w:val="single" w:sz="8" w:space="0" w:color="000000"/>
            </w:tcBorders>
          </w:tcPr>
          <w:p>
            <w:pPr>
              <w:wordWrap w:val="0"/>
              <w:rPr>
                <w:rFonts w:ascii="宋体" w:hAnsi="宋体" w:cs="宋体" w:hint="eastAsia"/>
                <w:szCs w:val="21"/>
              </w:rPr>
            </w:pPr>
            <w:r>
              <w:rPr>
                <w:rFonts w:ascii="宋体" w:hAnsi="宋体" w:cs="宋体" w:hint="eastAsia"/>
                <w:szCs w:val="21"/>
              </w:rPr>
              <w:t>提供3个同类业绩即得满分，提供2个得60分，提供1个得30分，未提供的不得分。投标人必须在投标文件中提供每一个完工项目的合同和验收报告，否则不得分。</w:t>
            </w:r>
          </w:p>
        </w:tc>
      </w:tr>
      <w:tr>
        <w:tblPrEx>
          <w:tblW w:w="4998" w:type="pct"/>
          <w:jc w:val="center"/>
          <w:tblCellMar>
            <w:top w:w="20" w:type="dxa"/>
            <w:left w:w="108" w:type="dxa"/>
            <w:bottom w:w="20" w:type="dxa"/>
            <w:right w:w="108" w:type="dxa"/>
          </w:tblCellMar>
          <w:tblLook w:val="0000"/>
        </w:tblPrEx>
        <w:trPr>
          <w:jc w:val="center"/>
        </w:trPr>
        <w:tc>
          <w:tcPr>
            <w:tcW w:w="374" w:type="pct"/>
            <w:vMerge/>
            <w:tcBorders>
              <w:top w:val="single" w:sz="8" w:space="0" w:color="000000"/>
              <w:left w:val="single" w:sz="8" w:space="0" w:color="000000"/>
              <w:bottom w:val="single" w:sz="8" w:space="0" w:color="000000"/>
              <w:right w:val="single" w:sz="8" w:space="0" w:color="000000"/>
            </w:tcBorders>
            <w:vAlign w:val="center"/>
          </w:tcPr>
          <w:p>
            <w:pPr>
              <w:rPr>
                <w:rFonts w:ascii="宋体" w:hAnsi="宋体" w:cs="宋体" w:hint="eastAsia"/>
                <w:b/>
                <w:bCs/>
                <w:color w:val="0000FF"/>
                <w:szCs w:val="21"/>
              </w:rPr>
            </w:pPr>
          </w:p>
        </w:tc>
        <w:tc>
          <w:tcPr>
            <w:tcW w:w="374" w:type="pct"/>
            <w:tcBorders>
              <w:top w:val="single" w:sz="8" w:space="0" w:color="000000"/>
              <w:left w:val="single" w:sz="8" w:space="0" w:color="000000"/>
              <w:bottom w:val="single" w:sz="8" w:space="0" w:color="000000"/>
              <w:right w:val="single" w:sz="8" w:space="0" w:color="000000"/>
            </w:tcBorders>
          </w:tcPr>
          <w:p>
            <w:pPr>
              <w:wordWrap w:val="0"/>
              <w:jc w:val="center"/>
              <w:rPr>
                <w:rFonts w:ascii="宋体" w:hAnsi="宋体" w:cs="宋体" w:hint="eastAsia"/>
                <w:szCs w:val="21"/>
              </w:rPr>
            </w:pPr>
            <w:r>
              <w:rPr>
                <w:rFonts w:ascii="宋体" w:hAnsi="宋体" w:cs="宋体" w:hint="eastAsia"/>
                <w:szCs w:val="21"/>
              </w:rPr>
              <w:t>4</w:t>
            </w:r>
          </w:p>
        </w:tc>
        <w:tc>
          <w:tcPr>
            <w:tcW w:w="1406" w:type="pct"/>
            <w:tcBorders>
              <w:top w:val="single" w:sz="8" w:space="0" w:color="000000"/>
              <w:left w:val="single" w:sz="8" w:space="0" w:color="000000"/>
              <w:bottom w:val="single" w:sz="8" w:space="0" w:color="000000"/>
              <w:right w:val="single" w:sz="8" w:space="0" w:color="000000"/>
            </w:tcBorders>
          </w:tcPr>
          <w:p>
            <w:pPr>
              <w:wordWrap w:val="0"/>
              <w:rPr>
                <w:rFonts w:ascii="宋体" w:hAnsi="宋体" w:cs="宋体" w:hint="eastAsia"/>
                <w:szCs w:val="21"/>
              </w:rPr>
            </w:pPr>
            <w:r>
              <w:rPr>
                <w:rFonts w:ascii="宋体" w:hAnsi="宋体" w:cs="宋体" w:hint="eastAsia"/>
                <w:szCs w:val="21"/>
              </w:rPr>
              <w:t>诚信</w:t>
            </w:r>
          </w:p>
        </w:tc>
        <w:tc>
          <w:tcPr>
            <w:tcW w:w="531" w:type="pct"/>
            <w:tcBorders>
              <w:top w:val="single" w:sz="8" w:space="0" w:color="000000"/>
              <w:left w:val="single" w:sz="8" w:space="0" w:color="000000"/>
              <w:bottom w:val="single" w:sz="8" w:space="0" w:color="000000"/>
              <w:right w:val="single" w:sz="8" w:space="0" w:color="000000"/>
            </w:tcBorders>
          </w:tcPr>
          <w:p>
            <w:pPr>
              <w:wordWrap w:val="0"/>
              <w:jc w:val="center"/>
              <w:rPr>
                <w:rFonts w:ascii="宋体" w:hAnsi="宋体" w:cs="宋体" w:hint="eastAsia"/>
                <w:szCs w:val="21"/>
              </w:rPr>
            </w:pPr>
            <w:r>
              <w:rPr>
                <w:rFonts w:ascii="宋体" w:hAnsi="宋体" w:cs="宋体" w:hint="eastAsia"/>
                <w:szCs w:val="21"/>
              </w:rPr>
              <w:t>5</w:t>
            </w:r>
          </w:p>
        </w:tc>
        <w:tc>
          <w:tcPr>
            <w:tcW w:w="2313" w:type="pct"/>
            <w:tcBorders>
              <w:top w:val="single" w:sz="8" w:space="0" w:color="000000"/>
              <w:left w:val="single" w:sz="8" w:space="0" w:color="000000"/>
              <w:bottom w:val="single" w:sz="8" w:space="0" w:color="000000"/>
              <w:right w:val="single" w:sz="8" w:space="0" w:color="000000"/>
            </w:tcBorders>
          </w:tcPr>
          <w:p>
            <w:pPr>
              <w:wordWrap w:val="0"/>
              <w:rPr>
                <w:rFonts w:ascii="宋体" w:hAnsi="宋体" w:cs="宋体" w:hint="eastAsia"/>
                <w:szCs w:val="21"/>
              </w:rPr>
            </w:pPr>
            <w:r>
              <w:rPr>
                <w:rFonts w:ascii="宋体" w:hAnsi="宋体" w:cs="宋体" w:hint="eastAsia"/>
                <w:szCs w:val="21"/>
              </w:rPr>
              <w:t>投标人在参与政府采购活动中存在诚信相关问题且在主管部门相关处理措施实施期限内的，本项不得分，否则得满分。投标人无需提供任何证明材料，由工作人员向评审委员会提供相关信息。</w:t>
            </w:r>
          </w:p>
        </w:tc>
      </w:tr>
    </w:tbl>
    <w:p/>
    <w:p>
      <w:pPr>
        <w:pStyle w:val="BodyTextFirstIndent2"/>
      </w:pPr>
    </w:p>
    <w:p>
      <w:pPr>
        <w:pStyle w:val="PlainText"/>
        <w:rPr>
          <w:rFonts w:hint="eastAsia"/>
        </w:rPr>
      </w:pPr>
    </w:p>
    <w:p>
      <w:pPr>
        <w:pStyle w:val="Default"/>
        <w:rPr>
          <w:rFonts w:hint="eastAsia"/>
        </w:rPr>
      </w:pPr>
    </w:p>
    <w:p>
      <w:pPr>
        <w:pStyle w:val="BodyText"/>
        <w:rPr>
          <w:rFonts w:ascii="宋体" w:hAnsi="宋体" w:cs="宋体" w:hint="eastAsia"/>
        </w:rPr>
      </w:pPr>
      <w:r>
        <w:rPr>
          <w:rFonts w:ascii="宋体" w:hAnsi="宋体" w:cs="宋体" w:hint="eastAsia"/>
        </w:rPr>
        <w:br w:type="page"/>
      </w:r>
    </w:p>
    <w:p>
      <w:pPr>
        <w:rPr>
          <w:rFonts w:ascii="宋体" w:hAnsi="宋体" w:cs="宋体" w:hint="eastAsia"/>
          <w:b/>
          <w:bCs/>
          <w:sz w:val="32"/>
          <w:szCs w:val="72"/>
        </w:rPr>
      </w:pPr>
    </w:p>
    <w:p>
      <w:pPr>
        <w:pStyle w:val="Heading1"/>
        <w:rPr>
          <w:rFonts w:eastAsia="宋体" w:cs="宋体" w:hint="eastAsia"/>
          <w:b/>
          <w:bCs/>
          <w:sz w:val="32"/>
          <w:szCs w:val="72"/>
        </w:rPr>
      </w:pPr>
      <w:r>
        <w:rPr>
          <w:rFonts w:eastAsia="宋体" w:cs="宋体" w:hint="eastAsia"/>
          <w:b/>
          <w:bCs/>
          <w:sz w:val="32"/>
          <w:szCs w:val="72"/>
        </w:rPr>
        <w:t>目录</w:t>
      </w:r>
    </w:p>
    <w:p>
      <w:pPr>
        <w:rPr>
          <w:rFonts w:ascii="宋体" w:hAnsi="宋体" w:cs="宋体" w:hint="eastAsia"/>
          <w:b/>
          <w:sz w:val="24"/>
        </w:rPr>
      </w:pPr>
      <w:r>
        <w:rPr>
          <w:rFonts w:ascii="宋体" w:hAnsi="宋体" w:cs="宋体" w:hint="eastAsia"/>
          <w:b/>
          <w:sz w:val="24"/>
        </w:rPr>
        <w:t>第一册  专用条款</w:t>
      </w:r>
    </w:p>
    <w:p>
      <w:pPr>
        <w:rPr>
          <w:rFonts w:ascii="宋体" w:hAnsi="宋体" w:cs="宋体" w:hint="eastAsia"/>
          <w:sz w:val="24"/>
        </w:rPr>
      </w:pPr>
      <w:r>
        <w:rPr>
          <w:rFonts w:ascii="宋体" w:hAnsi="宋体" w:cs="宋体" w:hint="eastAsia"/>
          <w:sz w:val="24"/>
        </w:rPr>
        <w:t>关键信息</w:t>
      </w:r>
    </w:p>
    <w:p>
      <w:pPr>
        <w:ind w:left="720" w:firstLine="720" w:leftChars="300" w:firstLineChars="300"/>
        <w:rPr>
          <w:rFonts w:ascii="宋体" w:hAnsi="宋体" w:cs="宋体" w:hint="eastAsia"/>
          <w:szCs w:val="21"/>
        </w:rPr>
      </w:pPr>
      <w:r>
        <w:rPr>
          <w:rFonts w:ascii="宋体" w:hAnsi="宋体" w:cs="宋体" w:hint="eastAsia"/>
          <w:szCs w:val="21"/>
        </w:rPr>
        <w:t>第一章 招标公告</w:t>
      </w:r>
    </w:p>
    <w:p>
      <w:pPr>
        <w:ind w:left="720" w:firstLine="720" w:leftChars="300" w:firstLineChars="300"/>
        <w:rPr>
          <w:rFonts w:ascii="宋体" w:hAnsi="宋体" w:cs="宋体" w:hint="eastAsia"/>
          <w:szCs w:val="21"/>
        </w:rPr>
      </w:pPr>
      <w:r>
        <w:rPr>
          <w:rFonts w:ascii="宋体" w:hAnsi="宋体" w:cs="宋体" w:hint="eastAsia"/>
          <w:szCs w:val="21"/>
        </w:rPr>
        <w:t>第二章 招标项目需求</w:t>
      </w:r>
    </w:p>
    <w:p>
      <w:pPr>
        <w:ind w:left="720" w:firstLine="720" w:leftChars="300" w:firstLineChars="300"/>
        <w:rPr>
          <w:rFonts w:ascii="宋体" w:hAnsi="宋体" w:cs="宋体" w:hint="eastAsia"/>
          <w:szCs w:val="21"/>
        </w:rPr>
      </w:pPr>
      <w:r>
        <w:rPr>
          <w:rFonts w:ascii="宋体" w:hAnsi="宋体" w:cs="宋体" w:hint="eastAsia"/>
          <w:szCs w:val="21"/>
        </w:rPr>
        <w:t>第三章 投标文件格式、附件</w:t>
      </w:r>
    </w:p>
    <w:p>
      <w:pPr>
        <w:ind w:left="720" w:firstLine="720" w:leftChars="300" w:firstLineChars="300"/>
        <w:rPr>
          <w:rFonts w:ascii="宋体" w:hAnsi="宋体" w:cs="宋体" w:hint="eastAsia"/>
          <w:szCs w:val="21"/>
        </w:rPr>
      </w:pPr>
      <w:r>
        <w:rPr>
          <w:rFonts w:ascii="宋体" w:hAnsi="宋体" w:cs="宋体" w:hint="eastAsia"/>
          <w:szCs w:val="21"/>
        </w:rPr>
        <w:t>第四章 合同及履约情况反馈格式</w:t>
      </w:r>
    </w:p>
    <w:p>
      <w:pPr>
        <w:rPr>
          <w:rFonts w:ascii="宋体" w:hAnsi="宋体" w:cs="宋体" w:hint="eastAsia"/>
          <w:b/>
          <w:sz w:val="24"/>
        </w:rPr>
      </w:pPr>
    </w:p>
    <w:p>
      <w:pPr>
        <w:rPr>
          <w:rFonts w:ascii="宋体" w:hAnsi="宋体" w:cs="宋体" w:hint="eastAsia"/>
          <w:b/>
          <w:sz w:val="24"/>
        </w:rPr>
      </w:pPr>
      <w:r>
        <w:rPr>
          <w:rFonts w:ascii="宋体" w:hAnsi="宋体" w:cs="宋体" w:hint="eastAsia"/>
          <w:b/>
          <w:sz w:val="24"/>
        </w:rPr>
        <w:t>第二册 通用条款</w:t>
      </w:r>
    </w:p>
    <w:p>
      <w:pPr>
        <w:ind w:left="720" w:firstLine="720" w:leftChars="300" w:firstLineChars="300"/>
        <w:rPr>
          <w:rFonts w:ascii="宋体" w:hAnsi="宋体" w:cs="宋体" w:hint="eastAsia"/>
          <w:szCs w:val="21"/>
        </w:rPr>
      </w:pPr>
      <w:r>
        <w:rPr>
          <w:rFonts w:ascii="宋体" w:hAnsi="宋体" w:cs="宋体" w:hint="eastAsia"/>
          <w:szCs w:val="21"/>
        </w:rPr>
        <w:t>第一章 总则</w:t>
      </w:r>
    </w:p>
    <w:p>
      <w:pPr>
        <w:ind w:left="720" w:firstLine="720" w:leftChars="300" w:firstLineChars="300"/>
        <w:rPr>
          <w:rFonts w:ascii="宋体" w:hAnsi="宋体" w:cs="宋体" w:hint="eastAsia"/>
          <w:szCs w:val="21"/>
        </w:rPr>
      </w:pPr>
      <w:r>
        <w:rPr>
          <w:rFonts w:ascii="宋体" w:hAnsi="宋体" w:cs="宋体" w:hint="eastAsia"/>
          <w:szCs w:val="21"/>
        </w:rPr>
        <w:t>第二章 招标文件</w:t>
      </w:r>
    </w:p>
    <w:p>
      <w:pPr>
        <w:ind w:left="720" w:firstLine="720" w:leftChars="300" w:firstLineChars="300"/>
        <w:rPr>
          <w:rFonts w:ascii="宋体" w:hAnsi="宋体" w:cs="宋体" w:hint="eastAsia"/>
          <w:szCs w:val="21"/>
        </w:rPr>
      </w:pPr>
      <w:r>
        <w:rPr>
          <w:rFonts w:ascii="宋体" w:hAnsi="宋体" w:cs="宋体" w:hint="eastAsia"/>
          <w:szCs w:val="21"/>
        </w:rPr>
        <w:t>第三章 投标文件的编制</w:t>
      </w:r>
    </w:p>
    <w:p>
      <w:pPr>
        <w:ind w:left="720" w:firstLine="720" w:leftChars="300" w:firstLineChars="300"/>
        <w:rPr>
          <w:rFonts w:ascii="宋体" w:hAnsi="宋体" w:cs="宋体" w:hint="eastAsia"/>
          <w:szCs w:val="21"/>
        </w:rPr>
      </w:pPr>
      <w:r>
        <w:rPr>
          <w:rFonts w:ascii="宋体" w:hAnsi="宋体" w:cs="宋体" w:hint="eastAsia"/>
          <w:szCs w:val="21"/>
        </w:rPr>
        <w:t>第四章 投标文件的递交</w:t>
      </w:r>
    </w:p>
    <w:p>
      <w:pPr>
        <w:ind w:left="720" w:firstLine="720" w:leftChars="300" w:firstLineChars="300"/>
        <w:rPr>
          <w:rFonts w:ascii="宋体" w:hAnsi="宋体" w:cs="宋体" w:hint="eastAsia"/>
          <w:szCs w:val="21"/>
        </w:rPr>
      </w:pPr>
      <w:r>
        <w:rPr>
          <w:rFonts w:ascii="宋体" w:hAnsi="宋体" w:cs="宋体" w:hint="eastAsia"/>
          <w:szCs w:val="21"/>
        </w:rPr>
        <w:t>第五章 开标</w:t>
      </w:r>
    </w:p>
    <w:p>
      <w:pPr>
        <w:ind w:left="720" w:firstLine="720" w:leftChars="300" w:firstLineChars="300"/>
        <w:rPr>
          <w:rFonts w:ascii="宋体" w:hAnsi="宋体" w:cs="宋体" w:hint="eastAsia"/>
          <w:szCs w:val="21"/>
        </w:rPr>
      </w:pPr>
      <w:r>
        <w:rPr>
          <w:rFonts w:ascii="宋体" w:hAnsi="宋体" w:cs="宋体" w:hint="eastAsia"/>
          <w:szCs w:val="21"/>
        </w:rPr>
        <w:t>第六章 评标要求</w:t>
      </w:r>
    </w:p>
    <w:p>
      <w:pPr>
        <w:ind w:left="720" w:firstLine="720" w:leftChars="300" w:firstLineChars="300"/>
        <w:rPr>
          <w:rFonts w:ascii="宋体" w:hAnsi="宋体" w:cs="宋体" w:hint="eastAsia"/>
          <w:szCs w:val="21"/>
        </w:rPr>
      </w:pPr>
      <w:r>
        <w:rPr>
          <w:rFonts w:ascii="宋体" w:hAnsi="宋体" w:cs="宋体" w:hint="eastAsia"/>
          <w:szCs w:val="21"/>
        </w:rPr>
        <w:t>第七章 评标程序及评标方法</w:t>
      </w:r>
    </w:p>
    <w:p>
      <w:pPr>
        <w:ind w:left="720" w:firstLine="720" w:leftChars="300" w:firstLineChars="300"/>
        <w:rPr>
          <w:rFonts w:ascii="宋体" w:hAnsi="宋体" w:cs="宋体" w:hint="eastAsia"/>
          <w:szCs w:val="21"/>
        </w:rPr>
      </w:pPr>
      <w:r>
        <w:rPr>
          <w:rFonts w:ascii="宋体" w:hAnsi="宋体" w:cs="宋体" w:hint="eastAsia"/>
          <w:szCs w:val="21"/>
        </w:rPr>
        <w:t>第八章 定标及公示</w:t>
      </w:r>
    </w:p>
    <w:p>
      <w:pPr>
        <w:ind w:left="720" w:firstLine="720" w:leftChars="300" w:firstLineChars="300"/>
        <w:rPr>
          <w:rFonts w:ascii="宋体" w:hAnsi="宋体" w:cs="宋体" w:hint="eastAsia"/>
          <w:szCs w:val="21"/>
        </w:rPr>
      </w:pPr>
      <w:r>
        <w:rPr>
          <w:rFonts w:ascii="宋体" w:hAnsi="宋体" w:cs="宋体" w:hint="eastAsia"/>
          <w:szCs w:val="21"/>
        </w:rPr>
        <w:t>第九章 公开招标失败的后续处理</w:t>
      </w:r>
    </w:p>
    <w:p>
      <w:pPr>
        <w:ind w:left="720" w:firstLine="720" w:leftChars="300" w:firstLineChars="300"/>
        <w:rPr>
          <w:rFonts w:ascii="宋体" w:hAnsi="宋体" w:cs="宋体" w:hint="eastAsia"/>
          <w:szCs w:val="21"/>
        </w:rPr>
      </w:pPr>
      <w:r>
        <w:rPr>
          <w:rFonts w:ascii="宋体" w:hAnsi="宋体" w:cs="宋体" w:hint="eastAsia"/>
          <w:szCs w:val="21"/>
        </w:rPr>
        <w:t>第十章 合同的授予与备案</w:t>
      </w:r>
    </w:p>
    <w:p>
      <w:pPr>
        <w:ind w:left="720" w:firstLine="720" w:leftChars="300" w:firstLineChars="300"/>
        <w:rPr>
          <w:rFonts w:ascii="宋体" w:hAnsi="宋体" w:cs="宋体" w:hint="eastAsia"/>
          <w:szCs w:val="21"/>
        </w:rPr>
      </w:pPr>
      <w:r>
        <w:rPr>
          <w:rFonts w:ascii="宋体" w:hAnsi="宋体" w:cs="宋体" w:hint="eastAsia"/>
          <w:szCs w:val="21"/>
        </w:rPr>
        <w:t>第十一章 质疑处理</w:t>
      </w:r>
    </w:p>
    <w:p>
      <w:pPr>
        <w:ind w:left="720" w:firstLine="720" w:leftChars="300" w:firstLineChars="300"/>
        <w:rPr>
          <w:rFonts w:ascii="宋体" w:hAnsi="宋体" w:cs="宋体" w:hint="eastAsia"/>
          <w:szCs w:val="21"/>
        </w:rPr>
      </w:pPr>
      <w:r>
        <w:rPr>
          <w:rFonts w:ascii="宋体" w:hAnsi="宋体" w:cs="宋体" w:hint="eastAsia"/>
          <w:szCs w:val="21"/>
        </w:rPr>
        <w:t>第十二章 中标服务费</w:t>
      </w:r>
    </w:p>
    <w:p>
      <w:pPr>
        <w:pStyle w:val="BodyText"/>
        <w:rPr>
          <w:rFonts w:ascii="宋体" w:hAnsi="宋体" w:cs="宋体" w:hint="eastAsia"/>
        </w:rPr>
      </w:pPr>
    </w:p>
    <w:p>
      <w:pPr>
        <w:rPr>
          <w:rFonts w:ascii="宋体" w:hAnsi="宋体" w:cs="宋体" w:hint="eastAsia"/>
          <w:sz w:val="24"/>
        </w:rPr>
      </w:pPr>
    </w:p>
    <w:p>
      <w:pPr>
        <w:rPr>
          <w:rFonts w:ascii="宋体" w:hAnsi="宋体" w:cs="宋体" w:hint="eastAsia"/>
          <w:b/>
          <w:color w:val="FF0000"/>
        </w:rPr>
      </w:pPr>
      <w:r>
        <w:rPr>
          <w:rFonts w:ascii="宋体" w:hAnsi="宋体" w:cs="宋体" w:hint="eastAsia"/>
          <w:b/>
          <w:color w:val="FF0000"/>
        </w:rPr>
        <w:t>备注：</w:t>
      </w:r>
    </w:p>
    <w:p>
      <w:pPr>
        <w:ind w:firstLine="480" w:firstLineChars="200"/>
        <w:rPr>
          <w:rFonts w:ascii="宋体" w:hAnsi="宋体" w:cs="宋体" w:hint="eastAsia"/>
          <w:b/>
          <w:color w:val="FF0000"/>
        </w:rPr>
      </w:pPr>
      <w:r>
        <w:rPr>
          <w:rFonts w:ascii="宋体" w:hAnsi="宋体" w:cs="宋体" w:hint="eastAsia"/>
          <w:color w:val="FF0000"/>
          <w:szCs w:val="21"/>
        </w:rPr>
        <w:t>1.本招标文件分为第一册“专用条款”和第二册“通用条款”。</w:t>
      </w:r>
    </w:p>
    <w:p>
      <w:pPr>
        <w:spacing w:line="360" w:lineRule="auto"/>
        <w:ind w:firstLine="480" w:firstLineChars="200"/>
        <w:jc w:val="left"/>
        <w:rPr>
          <w:rFonts w:ascii="宋体" w:hAnsi="宋体" w:cs="宋体" w:hint="eastAsia"/>
          <w:color w:val="FF0000"/>
          <w:szCs w:val="21"/>
        </w:rPr>
      </w:pPr>
      <w:r>
        <w:rPr>
          <w:rFonts w:ascii="宋体" w:hAnsi="宋体" w:cs="宋体" w:hint="eastAsia"/>
          <w:color w:val="FF0000"/>
          <w:szCs w:val="21"/>
        </w:rPr>
        <w:t>2.“专用条款”是对本次采购项目的具体要求，包含招标公告、招标项目需求、合同条款及格式、投标文件格式、附件等内容。</w:t>
      </w:r>
    </w:p>
    <w:p>
      <w:pPr>
        <w:spacing w:line="360" w:lineRule="auto"/>
        <w:ind w:firstLine="480" w:firstLineChars="200"/>
        <w:jc w:val="left"/>
        <w:rPr>
          <w:rFonts w:ascii="宋体" w:hAnsi="宋体" w:cs="宋体" w:hint="eastAsia"/>
          <w:color w:val="FF0000"/>
          <w:szCs w:val="21"/>
        </w:rPr>
      </w:pPr>
      <w:r>
        <w:rPr>
          <w:rFonts w:ascii="宋体" w:hAnsi="宋体" w:cs="宋体" w:hint="eastAsia"/>
          <w:color w:val="FF0000"/>
          <w:szCs w:val="21"/>
        </w:rPr>
        <w:t>3.“通用条款”是通用于政府采购项目的基础性条款，具有普遍性和通用性。</w:t>
      </w:r>
    </w:p>
    <w:p>
      <w:pPr>
        <w:spacing w:line="360" w:lineRule="auto"/>
        <w:ind w:firstLine="480" w:firstLineChars="200"/>
        <w:jc w:val="center"/>
        <w:rPr>
          <w:rFonts w:ascii="宋体" w:hAnsi="宋体" w:cs="宋体" w:hint="eastAsia"/>
          <w:b/>
          <w:bCs/>
          <w:color w:val="FF0000"/>
          <w:sz w:val="32"/>
          <w:szCs w:val="32"/>
        </w:rPr>
      </w:pPr>
      <w:r>
        <w:rPr>
          <w:rFonts w:ascii="宋体" w:hAnsi="宋体" w:cs="宋体" w:hint="eastAsia"/>
          <w:color w:val="FF0000"/>
          <w:szCs w:val="21"/>
        </w:rPr>
        <w:t>4.当出现“专用条款”和“通用条款”表述不一致或有冲突时，以“专用条款”为准。</w:t>
      </w:r>
      <w:r>
        <w:rPr>
          <w:rFonts w:ascii="宋体" w:hAnsi="宋体" w:cs="宋体" w:hint="eastAsia"/>
          <w:color w:val="FF0000"/>
        </w:rPr>
        <w:br w:type="page"/>
      </w:r>
      <w:bookmarkStart w:id="0" w:name="bt其他资料由投标人自定"/>
      <w:bookmarkStart w:id="1" w:name="bt技术标投标文件格式"/>
      <w:bookmarkStart w:id="2" w:name="bt商务标投标文件格式"/>
      <w:bookmarkStart w:id="3" w:name="bt说明"/>
      <w:bookmarkStart w:id="4" w:name="合同格式"/>
      <w:bookmarkStart w:id="5" w:name="bt投标报价汇总表"/>
      <w:bookmarkStart w:id="6" w:name="bt合同条款"/>
      <w:bookmarkStart w:id="7" w:name="bt投标函"/>
      <w:bookmarkStart w:id="8" w:name="bt合同格式"/>
      <w:bookmarkStart w:id="9" w:name="bt投标人情况介绍"/>
      <w:bookmarkStart w:id="10" w:name="bt项目管理班子配备情况"/>
      <w:bookmarkStart w:id="11" w:name="bt合同条款及格式"/>
      <w:bookmarkStart w:id="12" w:name="bt投标文件签署授权委托书"/>
      <w:bookmarkStart w:id="13" w:name="bt开标一览表"/>
      <w:bookmarkStart w:id="14" w:name="bt其他资料2"/>
      <w:bookmarkStart w:id="15" w:name="bt投标人须知"/>
      <w:bookmarkStart w:id="16" w:name="bt本工程承诺书"/>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r>
        <w:rPr>
          <w:rFonts w:ascii="宋体" w:hAnsi="宋体" w:cs="宋体" w:hint="eastAsia"/>
          <w:b/>
          <w:bCs/>
          <w:sz w:val="32"/>
          <w:szCs w:val="32"/>
        </w:rPr>
        <w:t>第一册 专用条款</w:t>
      </w:r>
    </w:p>
    <w:p>
      <w:pPr>
        <w:pStyle w:val="Heading1"/>
        <w:tabs>
          <w:tab w:val="left" w:pos="0"/>
          <w:tab w:val="left" w:pos="3165"/>
          <w:tab w:val="center" w:pos="4153"/>
        </w:tabs>
        <w:autoSpaceDE w:val="0"/>
        <w:autoSpaceDN w:val="0"/>
        <w:adjustRightInd w:val="0"/>
        <w:spacing w:before="0" w:after="0"/>
        <w:rPr>
          <w:rFonts w:eastAsia="宋体" w:cs="宋体" w:hint="eastAsia"/>
          <w:sz w:val="21"/>
          <w:szCs w:val="21"/>
        </w:rPr>
      </w:pPr>
      <w:bookmarkStart w:id="17" w:name="_Hlk35571526"/>
      <w:bookmarkStart w:id="18" w:name="_Hlk35571525"/>
      <w:bookmarkStart w:id="19" w:name="_Hlk35571527"/>
      <w:r>
        <w:rPr>
          <w:rFonts w:eastAsia="宋体" w:cs="宋体" w:hint="eastAsia"/>
          <w:sz w:val="21"/>
          <w:szCs w:val="21"/>
        </w:rPr>
        <w:t>第一章 招标公告</w:t>
      </w:r>
    </w:p>
    <w:p>
      <w:pPr>
        <w:pStyle w:val="NormalWeb"/>
        <w:widowControl/>
        <w:spacing w:beforeAutospacing="0" w:afterAutospacing="0" w:line="360" w:lineRule="auto"/>
        <w:rPr>
          <w:rFonts w:ascii="宋体" w:hAnsi="宋体" w:cs="宋体" w:hint="eastAsia"/>
          <w:color w:val="000000"/>
          <w:sz w:val="21"/>
          <w:szCs w:val="21"/>
        </w:rPr>
      </w:pPr>
      <w:r>
        <w:rPr>
          <w:rFonts w:ascii="宋体" w:hAnsi="宋体" w:cs="宋体" w:hint="eastAsia"/>
          <w:color w:val="000000"/>
          <w:sz w:val="21"/>
          <w:szCs w:val="21"/>
        </w:rPr>
        <w:t>项目概况</w:t>
      </w:r>
    </w:p>
    <w:p>
      <w:pPr>
        <w:pStyle w:val="NormalWeb"/>
        <w:widowControl/>
        <w:spacing w:beforeAutospacing="0" w:afterAutospacing="0" w:line="360" w:lineRule="auto"/>
        <w:ind w:left="240" w:firstLine="240" w:leftChars="100" w:firstLineChars="100"/>
        <w:rPr>
          <w:rFonts w:ascii="宋体" w:hAnsi="宋体" w:cs="宋体" w:hint="eastAsia"/>
          <w:sz w:val="21"/>
          <w:szCs w:val="21"/>
        </w:rPr>
      </w:pPr>
      <w:r>
        <w:rPr>
          <w:rFonts w:ascii="宋体" w:hAnsi="宋体" w:cs="宋体" w:hint="eastAsia"/>
          <w:color w:val="000000"/>
          <w:sz w:val="21"/>
          <w:szCs w:val="21"/>
          <w:u w:val="single"/>
        </w:rPr>
        <w:t xml:space="preserve">原子吸收仪设备 </w:t>
      </w:r>
      <w:r>
        <w:rPr>
          <w:rFonts w:ascii="宋体" w:hAnsi="宋体" w:cs="宋体" w:hint="eastAsia"/>
          <w:color w:val="000000"/>
          <w:sz w:val="21"/>
          <w:szCs w:val="21"/>
        </w:rPr>
        <w:t xml:space="preserve">招标项目的潜在投标人应在  </w:t>
      </w:r>
      <w:r>
        <w:rPr>
          <w:rFonts w:ascii="宋体" w:hAnsi="宋体" w:cs="宋体" w:hint="eastAsia"/>
          <w:color w:val="000000"/>
          <w:sz w:val="21"/>
          <w:szCs w:val="21"/>
          <w:u w:val="single"/>
        </w:rPr>
        <w:t>深圳公共资源交易网</w:t>
      </w:r>
      <w:r>
        <w:rPr>
          <w:rFonts w:ascii="宋体" w:hAnsi="宋体" w:cs="宋体" w:hint="eastAsia"/>
          <w:color w:val="000000"/>
          <w:sz w:val="21"/>
          <w:szCs w:val="21"/>
        </w:rPr>
        <w:t>获取招标文件，并于</w:t>
      </w:r>
      <w:r>
        <w:rPr>
          <w:rFonts w:ascii="宋体" w:hAnsi="宋体" w:cs="宋体" w:hint="eastAsia"/>
          <w:color w:val="000000"/>
          <w:sz w:val="21"/>
          <w:szCs w:val="21"/>
          <w:u w:val="single"/>
        </w:rPr>
        <w:t>****年**月**日**点 ** 分（</w:t>
      </w:r>
      <w:r>
        <w:rPr>
          <w:rFonts w:ascii="宋体" w:hAnsi="宋体" w:cs="宋体" w:hint="eastAsia"/>
          <w:color w:val="000000"/>
          <w:sz w:val="21"/>
          <w:szCs w:val="21"/>
        </w:rPr>
        <w:t>北</w:t>
      </w:r>
      <w:r>
        <w:rPr>
          <w:rFonts w:ascii="宋体" w:hAnsi="宋体" w:cs="宋体" w:hint="eastAsia"/>
          <w:sz w:val="21"/>
          <w:szCs w:val="21"/>
        </w:rPr>
        <w:t>京时间）前递交投标文件。</w:t>
      </w:r>
    </w:p>
    <w:p>
      <w:pPr>
        <w:pStyle w:val="NormalWeb"/>
        <w:widowControl/>
        <w:spacing w:beforeAutospacing="0" w:afterAutospacing="0" w:line="360" w:lineRule="auto"/>
        <w:ind w:firstLine="480" w:firstLineChars="200"/>
        <w:rPr>
          <w:rFonts w:ascii="宋体" w:hAnsi="宋体" w:cs="宋体" w:hint="eastAsia"/>
          <w:sz w:val="21"/>
          <w:szCs w:val="21"/>
        </w:rPr>
      </w:pPr>
    </w:p>
    <w:p>
      <w:pPr>
        <w:pStyle w:val="NormalWeb"/>
        <w:widowControl/>
        <w:spacing w:beforeAutospacing="0" w:afterAutospacing="0" w:line="360" w:lineRule="auto"/>
        <w:outlineLvl w:val="2"/>
        <w:rPr>
          <w:rFonts w:ascii="宋体" w:hAnsi="宋体" w:cs="宋体" w:hint="eastAsia"/>
          <w:sz w:val="21"/>
          <w:szCs w:val="21"/>
        </w:rPr>
      </w:pPr>
      <w:r>
        <w:rPr>
          <w:rFonts w:ascii="宋体" w:hAnsi="宋体" w:cs="宋体" w:hint="eastAsia"/>
          <w:sz w:val="21"/>
          <w:szCs w:val="21"/>
        </w:rPr>
        <w:t>一、项目基本情况</w:t>
      </w:r>
    </w:p>
    <w:p>
      <w:pPr>
        <w:pStyle w:val="NormalWeb"/>
        <w:widowControl/>
        <w:spacing w:beforeAutospacing="0" w:afterAutospacing="0" w:line="360" w:lineRule="auto"/>
        <w:ind w:firstLine="480" w:firstLineChars="200"/>
        <w:rPr>
          <w:rFonts w:ascii="宋体" w:eastAsia="宋体" w:hAnsi="宋体" w:cs="宋体" w:hint="eastAsia"/>
          <w:color w:val="000000"/>
          <w:sz w:val="21"/>
          <w:szCs w:val="21"/>
          <w:lang w:eastAsia="zh-CN"/>
        </w:rPr>
      </w:pPr>
      <w:r>
        <w:rPr>
          <w:rFonts w:ascii="宋体" w:hAnsi="宋体" w:cs="宋体" w:hint="eastAsia"/>
          <w:sz w:val="21"/>
          <w:szCs w:val="21"/>
        </w:rPr>
        <w:t>项目编</w:t>
      </w:r>
      <w:r>
        <w:rPr>
          <w:rFonts w:ascii="宋体" w:hAnsi="宋体" w:cs="宋体" w:hint="eastAsia"/>
          <w:color w:val="000000"/>
          <w:sz w:val="21"/>
          <w:szCs w:val="21"/>
        </w:rPr>
        <w:t>号：</w:t>
      </w:r>
      <w:r>
        <w:rPr>
          <w:rFonts w:ascii="宋体" w:hAnsi="宋体" w:cs="宋体" w:hint="eastAsia"/>
          <w:color w:val="000000"/>
          <w:sz w:val="21"/>
          <w:szCs w:val="21"/>
          <w:lang w:eastAsia="zh-CN"/>
        </w:rPr>
        <w:t>SZDL2022001941</w:t>
      </w:r>
    </w:p>
    <w:p>
      <w:pPr>
        <w:pStyle w:val="NormalWeb"/>
        <w:widowControl/>
        <w:spacing w:beforeAutospacing="0" w:afterAutospacing="0" w:line="360" w:lineRule="auto"/>
        <w:ind w:firstLine="480" w:firstLineChars="200"/>
        <w:rPr>
          <w:rFonts w:ascii="宋体" w:hAnsi="宋体" w:cs="宋体" w:hint="eastAsia"/>
          <w:color w:val="333333"/>
          <w:sz w:val="21"/>
          <w:szCs w:val="21"/>
        </w:rPr>
      </w:pPr>
      <w:r>
        <w:rPr>
          <w:rFonts w:ascii="宋体" w:hAnsi="宋体" w:cs="宋体" w:hint="eastAsia"/>
          <w:color w:val="000000"/>
          <w:sz w:val="21"/>
          <w:szCs w:val="21"/>
        </w:rPr>
        <w:t xml:space="preserve">项目名称：原子吸收仪设备 </w:t>
      </w:r>
    </w:p>
    <w:p>
      <w:pPr>
        <w:pStyle w:val="NormalWeb"/>
        <w:widowControl/>
        <w:spacing w:beforeAutospacing="0" w:afterAutospacing="0" w:line="360" w:lineRule="auto"/>
        <w:ind w:firstLine="480" w:firstLineChars="200"/>
        <w:rPr>
          <w:rFonts w:ascii="宋体" w:hAnsi="宋体" w:cs="宋体" w:hint="eastAsia"/>
          <w:color w:val="000000"/>
          <w:sz w:val="21"/>
          <w:szCs w:val="21"/>
        </w:rPr>
      </w:pPr>
      <w:r>
        <w:rPr>
          <w:rFonts w:ascii="宋体" w:hAnsi="宋体" w:cs="宋体" w:hint="eastAsia"/>
          <w:color w:val="000000"/>
          <w:sz w:val="21"/>
          <w:szCs w:val="21"/>
        </w:rPr>
        <w:t>采购方式：公开招标</w:t>
      </w:r>
    </w:p>
    <w:p>
      <w:pPr>
        <w:pStyle w:val="NormalWeb"/>
        <w:widowControl/>
        <w:spacing w:beforeAutospacing="0" w:afterAutospacing="0" w:line="360" w:lineRule="auto"/>
        <w:ind w:firstLine="480" w:firstLineChars="200"/>
        <w:rPr>
          <w:rFonts w:ascii="宋体" w:hAnsi="宋体" w:cs="宋体" w:hint="eastAsia"/>
          <w:color w:val="333333"/>
          <w:sz w:val="21"/>
          <w:szCs w:val="21"/>
        </w:rPr>
      </w:pPr>
      <w:r>
        <w:rPr>
          <w:rFonts w:ascii="宋体" w:hAnsi="宋体" w:cs="宋体" w:hint="eastAsia"/>
          <w:color w:val="000000"/>
          <w:sz w:val="21"/>
          <w:szCs w:val="21"/>
        </w:rPr>
        <w:t>预算金额：人民币308万元整</w:t>
      </w:r>
    </w:p>
    <w:p>
      <w:pPr>
        <w:pStyle w:val="NormalWeb"/>
        <w:widowControl/>
        <w:spacing w:beforeAutospacing="0" w:afterAutospacing="0" w:line="360" w:lineRule="auto"/>
        <w:ind w:firstLine="480" w:firstLineChars="200"/>
        <w:rPr>
          <w:rFonts w:ascii="宋体" w:hAnsi="宋体" w:cs="宋体" w:hint="eastAsia"/>
          <w:color w:val="333333"/>
          <w:sz w:val="21"/>
          <w:szCs w:val="21"/>
        </w:rPr>
      </w:pPr>
      <w:r>
        <w:rPr>
          <w:rFonts w:ascii="宋体" w:hAnsi="宋体" w:cs="宋体" w:hint="eastAsia"/>
          <w:color w:val="000000"/>
          <w:sz w:val="21"/>
          <w:szCs w:val="21"/>
        </w:rPr>
        <w:t>最高限价：人民币308万元整</w:t>
      </w:r>
    </w:p>
    <w:p>
      <w:pPr>
        <w:pStyle w:val="NormalWeb"/>
        <w:widowControl/>
        <w:spacing w:beforeAutospacing="0" w:afterAutospacing="0" w:line="360" w:lineRule="auto"/>
        <w:ind w:firstLine="480" w:firstLineChars="200"/>
        <w:rPr>
          <w:rFonts w:ascii="宋体" w:hAnsi="宋体" w:cs="宋体" w:hint="eastAsia"/>
          <w:sz w:val="21"/>
          <w:szCs w:val="21"/>
        </w:rPr>
      </w:pPr>
      <w:r>
        <w:rPr>
          <w:rFonts w:ascii="宋体" w:hAnsi="宋体" w:cs="宋体" w:hint="eastAsia"/>
          <w:sz w:val="21"/>
          <w:szCs w:val="21"/>
        </w:rPr>
        <w:t xml:space="preserve">采购需求：原子吸收仪设备 </w:t>
      </w:r>
      <w:r>
        <w:rPr>
          <w:rFonts w:ascii="宋体" w:hAnsi="宋体" w:cs="宋体" w:hint="eastAsia"/>
          <w:bCs/>
          <w:sz w:val="21"/>
          <w:szCs w:val="21"/>
        </w:rPr>
        <w:t>1项。</w:t>
      </w:r>
    </w:p>
    <w:p>
      <w:pPr>
        <w:pStyle w:val="NormalWeb"/>
        <w:widowControl/>
        <w:spacing w:beforeAutospacing="0" w:afterAutospacing="0" w:line="360" w:lineRule="auto"/>
        <w:ind w:firstLine="480" w:firstLineChars="200"/>
        <w:rPr>
          <w:rFonts w:ascii="宋体" w:hAnsi="宋体" w:cs="宋体" w:hint="eastAsia"/>
          <w:sz w:val="21"/>
          <w:szCs w:val="21"/>
        </w:rPr>
      </w:pPr>
      <w:r>
        <w:rPr>
          <w:rFonts w:ascii="宋体" w:hAnsi="宋体" w:cs="宋体" w:hint="eastAsia"/>
          <w:sz w:val="21"/>
          <w:szCs w:val="21"/>
        </w:rPr>
        <w:t>合同履行期限（交货期限）：合同签订后90个日历日内交货，产品的附件、备品备件及专用工具、技术文件和资料等应随产品一同交付。</w:t>
      </w:r>
    </w:p>
    <w:p>
      <w:pPr>
        <w:pStyle w:val="NormalWeb"/>
        <w:widowControl/>
        <w:spacing w:beforeAutospacing="0" w:afterAutospacing="0" w:line="360" w:lineRule="auto"/>
        <w:ind w:firstLine="480" w:firstLineChars="200"/>
        <w:rPr>
          <w:rFonts w:ascii="宋体" w:hAnsi="宋体" w:cs="宋体" w:hint="eastAsia"/>
          <w:sz w:val="21"/>
          <w:szCs w:val="21"/>
        </w:rPr>
      </w:pPr>
      <w:r>
        <w:rPr>
          <w:rFonts w:ascii="宋体" w:hAnsi="宋体" w:cs="宋体" w:hint="eastAsia"/>
          <w:sz w:val="21"/>
          <w:szCs w:val="21"/>
        </w:rPr>
        <w:t>本项目不接受联合体投标，接受投标人选用进口产品参与投标，不允许分包、转包。</w:t>
      </w:r>
    </w:p>
    <w:p>
      <w:pPr>
        <w:pStyle w:val="NormalWeb"/>
        <w:widowControl/>
        <w:spacing w:beforeAutospacing="0" w:afterAutospacing="0" w:line="360" w:lineRule="auto"/>
        <w:ind w:firstLine="480" w:firstLineChars="200"/>
        <w:rPr>
          <w:rFonts w:ascii="宋体" w:hAnsi="宋体" w:cs="宋体" w:hint="eastAsia"/>
          <w:sz w:val="21"/>
          <w:szCs w:val="21"/>
        </w:rPr>
      </w:pPr>
    </w:p>
    <w:p>
      <w:pPr>
        <w:pStyle w:val="NormalWeb"/>
        <w:widowControl/>
        <w:spacing w:beforeAutospacing="0" w:afterAutospacing="0" w:line="360" w:lineRule="auto"/>
        <w:outlineLvl w:val="2"/>
        <w:rPr>
          <w:rFonts w:ascii="宋体" w:hAnsi="宋体" w:cs="宋体" w:hint="eastAsia"/>
          <w:sz w:val="21"/>
          <w:szCs w:val="21"/>
        </w:rPr>
      </w:pPr>
      <w:r>
        <w:rPr>
          <w:rFonts w:ascii="宋体" w:hAnsi="宋体" w:cs="宋体" w:hint="eastAsia"/>
          <w:sz w:val="21"/>
          <w:szCs w:val="21"/>
        </w:rPr>
        <w:t>二、申请人的资格要求：</w:t>
      </w:r>
    </w:p>
    <w:p>
      <w:pPr>
        <w:pStyle w:val="NormalWeb"/>
        <w:widowControl/>
        <w:spacing w:beforeAutospacing="0" w:afterAutospacing="0" w:line="360" w:lineRule="auto"/>
        <w:ind w:firstLine="480" w:firstLineChars="200"/>
        <w:rPr>
          <w:rFonts w:ascii="宋体" w:hAnsi="宋体" w:cs="宋体" w:hint="eastAsia"/>
          <w:sz w:val="21"/>
          <w:szCs w:val="21"/>
        </w:rPr>
      </w:pPr>
      <w:r>
        <w:rPr>
          <w:rFonts w:ascii="宋体" w:hAnsi="宋体" w:cs="宋体" w:hint="eastAsia"/>
          <w:sz w:val="21"/>
          <w:szCs w:val="21"/>
        </w:rPr>
        <w:t>1.满足《中华人民共和国政府采购法》第二十二条规定；</w:t>
      </w:r>
    </w:p>
    <w:p>
      <w:pPr>
        <w:pStyle w:val="NormalWeb"/>
        <w:widowControl/>
        <w:spacing w:beforeAutospacing="0" w:afterAutospacing="0" w:line="360" w:lineRule="auto"/>
        <w:ind w:firstLine="480" w:firstLineChars="200"/>
        <w:rPr>
          <w:rFonts w:ascii="宋体" w:hAnsi="宋体" w:cs="宋体" w:hint="eastAsia"/>
          <w:sz w:val="21"/>
          <w:szCs w:val="21"/>
        </w:rPr>
      </w:pPr>
      <w:r>
        <w:rPr>
          <w:rFonts w:ascii="宋体" w:hAnsi="宋体" w:cs="宋体" w:hint="eastAsia"/>
          <w:sz w:val="21"/>
          <w:szCs w:val="21"/>
        </w:rPr>
        <w:t>2.落实政府采购政策需满足的资格要求：</w:t>
      </w:r>
      <w:r>
        <w:rPr>
          <w:rFonts w:ascii="宋体" w:hAnsi="宋体" w:cs="宋体" w:hint="eastAsia"/>
          <w:sz w:val="21"/>
          <w:szCs w:val="21"/>
          <w:u w:val="single"/>
        </w:rPr>
        <w:t>无</w:t>
      </w:r>
      <w:r>
        <w:rPr>
          <w:rFonts w:ascii="宋体" w:hAnsi="宋体" w:cs="宋体" w:hint="eastAsia"/>
          <w:sz w:val="21"/>
          <w:szCs w:val="21"/>
        </w:rPr>
        <w:t>；</w:t>
      </w:r>
    </w:p>
    <w:p>
      <w:pPr>
        <w:pStyle w:val="NormalWeb"/>
        <w:widowControl/>
        <w:spacing w:beforeAutospacing="0" w:afterAutospacing="0" w:line="360" w:lineRule="auto"/>
        <w:ind w:firstLine="480" w:firstLineChars="200"/>
        <w:rPr>
          <w:rFonts w:ascii="宋体" w:hAnsi="宋体" w:cs="宋体"/>
          <w:sz w:val="21"/>
          <w:szCs w:val="21"/>
        </w:rPr>
      </w:pPr>
      <w:r>
        <w:rPr>
          <w:rFonts w:ascii="宋体" w:hAnsi="宋体" w:cs="宋体" w:hint="eastAsia"/>
          <w:sz w:val="21"/>
          <w:szCs w:val="21"/>
        </w:rPr>
        <w:t>3.本项目的特定资格要求：</w:t>
      </w:r>
    </w:p>
    <w:p>
      <w:pPr>
        <w:pStyle w:val="NormalWeb"/>
        <w:widowControl/>
        <w:spacing w:beforeAutospacing="0" w:afterAutospacing="0" w:line="360" w:lineRule="auto"/>
        <w:ind w:firstLine="480" w:firstLineChars="200"/>
        <w:rPr>
          <w:rFonts w:ascii="宋体" w:hAnsi="宋体" w:cs="宋体" w:hint="eastAsia"/>
          <w:sz w:val="21"/>
          <w:szCs w:val="21"/>
        </w:rPr>
      </w:pPr>
      <w:r>
        <w:rPr>
          <w:rFonts w:ascii="宋体" w:hAnsi="宋体" w:cs="宋体" w:hint="eastAsia"/>
          <w:kern w:val="2"/>
          <w:sz w:val="21"/>
          <w:szCs w:val="21"/>
        </w:rPr>
        <w:t>（1）</w:t>
      </w:r>
      <w:r>
        <w:rPr>
          <w:rFonts w:ascii="宋体" w:hAnsi="宋体" w:cs="宋体" w:hint="eastAsia"/>
          <w:sz w:val="21"/>
          <w:szCs w:val="21"/>
        </w:rPr>
        <w:t>具有独立法人资格或具有独立承担民事责任的能力的其它组织（提供营业执照或事业单位法人证等法人证明扫描件，原件备查）；</w:t>
      </w:r>
    </w:p>
    <w:p>
      <w:pPr>
        <w:autoSpaceDE w:val="0"/>
        <w:autoSpaceDN w:val="0"/>
        <w:adjustRightInd w:val="0"/>
        <w:snapToGrid w:val="0"/>
        <w:spacing w:line="360" w:lineRule="auto"/>
        <w:ind w:firstLine="480" w:firstLineChars="200"/>
        <w:jc w:val="left"/>
        <w:rPr>
          <w:rFonts w:ascii="宋体" w:hAnsi="宋体" w:cs="宋体" w:hint="eastAsia"/>
          <w:szCs w:val="21"/>
        </w:rPr>
      </w:pPr>
      <w:r>
        <w:rPr>
          <w:rFonts w:ascii="宋体" w:hAnsi="宋体" w:cs="宋体" w:hint="eastAsia"/>
          <w:szCs w:val="21"/>
        </w:rPr>
        <w:t>（2）①参加本次采购活动前三年内无行贿犯罪记录；②参与本项目采购活动时不存在被禁止参与政府采购活动情形；③单位负责人为同一人或者存在直接控股、管理关系的不同供应商，不得参加同一合同项下的采购活动；④除单一来源采购，为采购项目提供整体设计、规范编制或者项目管理、监理、检测等服务的供应商，不得再参加该采购项目的其他采购活动(须提供《政府采购投标及履约承诺函》）；</w:t>
      </w:r>
    </w:p>
    <w:p>
      <w:pPr>
        <w:pStyle w:val="NormalWeb"/>
        <w:widowControl/>
        <w:spacing w:beforeAutospacing="0" w:afterAutospacing="0" w:line="360" w:lineRule="auto"/>
        <w:ind w:firstLine="480" w:firstLineChars="200"/>
        <w:jc w:val="both"/>
        <w:rPr>
          <w:rFonts w:ascii="宋体" w:hAnsi="宋体" w:cs="宋体" w:hint="eastAsia"/>
          <w:sz w:val="21"/>
          <w:szCs w:val="21"/>
        </w:rPr>
      </w:pPr>
      <w:r>
        <w:rPr>
          <w:rFonts w:ascii="宋体" w:hAnsi="宋体" w:cs="宋体" w:hint="eastAsia"/>
          <w:sz w:val="21"/>
          <w:szCs w:val="21"/>
        </w:rPr>
        <w:t>（4）投标截止时间前，投标人未被列入失信被执行人、重大税收违法案件当事人名单、政府采购严重违法失信行为记录名单（采购代理机构将通过“信用中国”网站（www.creditchina.gov.cn）、中国政府采购网（www.ccgp.gov.cn）、深圳市政府采购监管网（www.zfcg.sz.gov.cn）、深圳信用网（https://www.szcredit.org.cn）渠道查询相关主体信用记录，相关信息以开标当日的查询结果为准。信用信息查询记录应当作为项目档案材料一并保存。</w:t>
      </w:r>
    </w:p>
    <w:p>
      <w:pPr>
        <w:pStyle w:val="NormalWeb"/>
        <w:widowControl/>
        <w:spacing w:beforeAutospacing="0" w:afterAutospacing="0" w:line="360" w:lineRule="auto"/>
        <w:ind w:firstLine="480" w:firstLineChars="200"/>
        <w:jc w:val="both"/>
        <w:rPr>
          <w:rFonts w:ascii="宋体" w:hAnsi="宋体" w:cs="宋体" w:hint="eastAsia"/>
          <w:sz w:val="21"/>
          <w:szCs w:val="21"/>
        </w:rPr>
      </w:pPr>
    </w:p>
    <w:p>
      <w:pPr>
        <w:pStyle w:val="NormalWeb"/>
        <w:widowControl/>
        <w:spacing w:beforeAutospacing="0" w:afterAutospacing="0" w:line="360" w:lineRule="auto"/>
        <w:outlineLvl w:val="2"/>
        <w:rPr>
          <w:rFonts w:ascii="宋体" w:hAnsi="宋体" w:cs="宋体" w:hint="eastAsia"/>
          <w:sz w:val="21"/>
          <w:szCs w:val="21"/>
        </w:rPr>
      </w:pPr>
      <w:r>
        <w:rPr>
          <w:rFonts w:ascii="宋体" w:hAnsi="宋体" w:cs="宋体" w:hint="eastAsia"/>
          <w:sz w:val="21"/>
          <w:szCs w:val="21"/>
        </w:rPr>
        <w:t>三、获取招标文件</w:t>
      </w:r>
    </w:p>
    <w:p>
      <w:pPr>
        <w:pStyle w:val="NormalWeb"/>
        <w:widowControl/>
        <w:spacing w:beforeAutospacing="0" w:afterAutospacing="0" w:line="360" w:lineRule="auto"/>
        <w:ind w:firstLine="480" w:firstLineChars="200"/>
        <w:jc w:val="both"/>
        <w:rPr>
          <w:rFonts w:ascii="宋体" w:hAnsi="宋体" w:cs="宋体" w:hint="eastAsia"/>
          <w:sz w:val="21"/>
          <w:szCs w:val="21"/>
        </w:rPr>
      </w:pPr>
      <w:r>
        <w:rPr>
          <w:rFonts w:ascii="宋体" w:hAnsi="宋体" w:cs="宋体" w:hint="eastAsia"/>
          <w:sz w:val="21"/>
          <w:szCs w:val="21"/>
        </w:rPr>
        <w:t>招标文件下载时间：****年**月** 日**时**分至****年**月**日** 时**分（北京时间）</w:t>
      </w:r>
    </w:p>
    <w:p>
      <w:pPr>
        <w:pStyle w:val="NormalWeb"/>
        <w:widowControl/>
        <w:spacing w:beforeAutospacing="0" w:afterAutospacing="0" w:line="360" w:lineRule="auto"/>
        <w:ind w:firstLine="480" w:firstLineChars="200"/>
        <w:jc w:val="both"/>
        <w:rPr>
          <w:rFonts w:ascii="宋体" w:hAnsi="宋体" w:cs="宋体" w:hint="eastAsia"/>
          <w:sz w:val="21"/>
          <w:szCs w:val="21"/>
        </w:rPr>
      </w:pPr>
      <w:r>
        <w:rPr>
          <w:rFonts w:ascii="宋体" w:hAnsi="宋体" w:cs="宋体" w:hint="eastAsia"/>
          <w:sz w:val="21"/>
          <w:szCs w:val="21"/>
        </w:rPr>
        <w:t>地点：登录深圳政府采购智慧平台（http://zfcg.szggzy.com:8081）下载本项目的招标文件。</w:t>
      </w:r>
    </w:p>
    <w:p>
      <w:pPr>
        <w:pStyle w:val="NormalWeb"/>
        <w:widowControl/>
        <w:spacing w:beforeAutospacing="0" w:afterAutospacing="0" w:line="360" w:lineRule="auto"/>
        <w:ind w:firstLine="480" w:firstLineChars="200"/>
        <w:jc w:val="both"/>
        <w:rPr>
          <w:rFonts w:ascii="宋体" w:hAnsi="宋体" w:cs="宋体" w:hint="eastAsia"/>
          <w:sz w:val="21"/>
          <w:szCs w:val="21"/>
        </w:rPr>
      </w:pPr>
      <w:r>
        <w:rPr>
          <w:rFonts w:ascii="宋体" w:hAnsi="宋体" w:cs="宋体" w:hint="eastAsia"/>
          <w:sz w:val="21"/>
          <w:szCs w:val="21"/>
        </w:rPr>
        <w:t>方式：在线下载。</w:t>
      </w:r>
    </w:p>
    <w:p>
      <w:pPr>
        <w:pStyle w:val="NormalWeb"/>
        <w:widowControl/>
        <w:spacing w:beforeAutospacing="0" w:afterAutospacing="0" w:line="360" w:lineRule="auto"/>
        <w:ind w:firstLine="480" w:firstLineChars="200"/>
        <w:jc w:val="both"/>
        <w:rPr>
          <w:rFonts w:ascii="宋体" w:hAnsi="宋体" w:cs="宋体" w:hint="eastAsia"/>
          <w:sz w:val="21"/>
          <w:szCs w:val="21"/>
        </w:rPr>
      </w:pPr>
      <w:r>
        <w:rPr>
          <w:rFonts w:ascii="宋体" w:hAnsi="宋体" w:cs="宋体" w:hint="eastAsia"/>
          <w:sz w:val="21"/>
          <w:szCs w:val="21"/>
        </w:rPr>
        <w:t>售价：免费。</w:t>
      </w:r>
    </w:p>
    <w:p>
      <w:pPr>
        <w:pStyle w:val="NormalWeb"/>
        <w:widowControl/>
        <w:spacing w:beforeAutospacing="0" w:afterAutospacing="0" w:line="360" w:lineRule="auto"/>
        <w:ind w:firstLine="480" w:firstLineChars="200"/>
        <w:jc w:val="both"/>
        <w:rPr>
          <w:rFonts w:ascii="宋体" w:hAnsi="宋体" w:cs="宋体" w:hint="eastAsia"/>
          <w:sz w:val="21"/>
          <w:szCs w:val="21"/>
        </w:rPr>
      </w:pPr>
    </w:p>
    <w:p>
      <w:pPr>
        <w:pStyle w:val="NormalWeb"/>
        <w:widowControl/>
        <w:spacing w:beforeAutospacing="0" w:afterAutospacing="0" w:line="360" w:lineRule="auto"/>
        <w:outlineLvl w:val="2"/>
        <w:rPr>
          <w:rFonts w:ascii="宋体" w:hAnsi="宋体" w:cs="宋体" w:hint="eastAsia"/>
          <w:sz w:val="21"/>
          <w:szCs w:val="21"/>
        </w:rPr>
      </w:pPr>
      <w:r>
        <w:rPr>
          <w:rFonts w:ascii="宋体" w:hAnsi="宋体" w:cs="宋体" w:hint="eastAsia"/>
          <w:sz w:val="21"/>
          <w:szCs w:val="21"/>
        </w:rPr>
        <w:t>四、提交投标文件截止时间、开标时间和地点</w:t>
      </w:r>
    </w:p>
    <w:p>
      <w:pPr>
        <w:spacing w:line="360" w:lineRule="auto"/>
        <w:ind w:firstLine="480" w:firstLineChars="200"/>
        <w:jc w:val="left"/>
        <w:rPr>
          <w:rFonts w:ascii="宋体" w:hAnsi="宋体" w:cs="宋体"/>
          <w:kern w:val="0"/>
          <w:szCs w:val="21"/>
        </w:rPr>
      </w:pPr>
      <w:r>
        <w:rPr>
          <w:rFonts w:ascii="宋体" w:hAnsi="宋体" w:cs="宋体" w:hint="eastAsia"/>
          <w:kern w:val="0"/>
          <w:szCs w:val="21"/>
        </w:rPr>
        <w:t>1.投标截止时间：所有投标文件应于</w:t>
      </w:r>
      <w:r>
        <w:rPr>
          <w:rFonts w:ascii="宋体" w:hAnsi="宋体" w:hint="eastAsia"/>
          <w:bCs/>
          <w:color w:val="0000FF"/>
          <w:u w:val="single"/>
        </w:rPr>
        <w:t>****年**月**日**:**</w:t>
      </w:r>
      <w:r>
        <w:rPr>
          <w:rFonts w:ascii="宋体" w:hAnsi="宋体" w:cs="宋体" w:hint="eastAsia"/>
          <w:kern w:val="0"/>
          <w:szCs w:val="21"/>
        </w:rPr>
        <w:t>（北京时间）之前上传到深圳政府采购智慧平台（</w:t>
      </w:r>
      <w:r>
        <w:rPr>
          <w:rFonts w:ascii="宋体" w:hAnsi="宋体" w:cs="宋体" w:hint="eastAsia"/>
          <w:kern w:val="0"/>
          <w:szCs w:val="21"/>
        </w:rPr>
        <w:fldChar w:fldCharType="begin"/>
      </w:r>
      <w:r>
        <w:rPr>
          <w:rFonts w:ascii="宋体" w:hAnsi="宋体" w:cs="宋体" w:hint="eastAsia"/>
          <w:kern w:val="0"/>
          <w:szCs w:val="21"/>
        </w:rPr>
        <w:instrText xml:space="preserve"> HYPERLINK "http://zfcg.szggzy.com" </w:instrText>
      </w:r>
      <w:r>
        <w:rPr>
          <w:rFonts w:ascii="宋体" w:hAnsi="宋体" w:cs="宋体" w:hint="eastAsia"/>
          <w:kern w:val="0"/>
          <w:szCs w:val="21"/>
        </w:rPr>
        <w:fldChar w:fldCharType="separate"/>
      </w:r>
      <w:r>
        <w:rPr>
          <w:rFonts w:ascii="宋体" w:hAnsi="宋体" w:cs="宋体" w:hint="eastAsia"/>
          <w:kern w:val="0"/>
          <w:szCs w:val="21"/>
        </w:rPr>
        <w:t>http://zfcg.szggzy.com</w:t>
      </w:r>
      <w:r>
        <w:rPr>
          <w:rFonts w:ascii="宋体" w:hAnsi="宋体" w:cs="宋体" w:hint="eastAsia"/>
          <w:kern w:val="0"/>
          <w:szCs w:val="21"/>
        </w:rPr>
        <w:fldChar w:fldCharType="end"/>
      </w:r>
      <w:r>
        <w:rPr>
          <w:rFonts w:ascii="宋体" w:hAnsi="宋体" w:cs="宋体" w:hint="eastAsia"/>
          <w:kern w:val="0"/>
          <w:szCs w:val="21"/>
        </w:rPr>
        <w:t>:8081/）。具体操作为登录“深圳政府采购智慧平台用户网上办事子系统（http://zfcg.szggzy.com:8</w:t>
      </w:r>
      <w:r>
        <w:rPr>
          <w:rFonts w:ascii="宋体" w:hAnsi="宋体" w:cs="宋体"/>
          <w:kern w:val="0"/>
          <w:szCs w:val="21"/>
        </w:rPr>
        <w:t>081</w:t>
      </w:r>
      <w:r>
        <w:rPr>
          <w:rFonts w:ascii="宋体" w:hAnsi="宋体" w:cs="宋体" w:hint="eastAsia"/>
          <w:kern w:val="0"/>
          <w:szCs w:val="21"/>
        </w:rPr>
        <w:t>/TPBidder/memberLogin）”，用“【我的项目】→【项目流程】→【递交投标(应答)文件】”功能点上传投标文件。本项目电子投标文件最大容量为100MB，超过此容量的文件将被拒绝。    </w:t>
      </w:r>
    </w:p>
    <w:p>
      <w:pPr>
        <w:spacing w:line="360" w:lineRule="auto"/>
        <w:ind w:firstLine="420"/>
        <w:jc w:val="left"/>
        <w:rPr>
          <w:rFonts w:ascii="宋体" w:hAnsi="宋体" w:cs="宋体"/>
          <w:kern w:val="0"/>
          <w:szCs w:val="21"/>
        </w:rPr>
      </w:pPr>
      <w:r>
        <w:rPr>
          <w:rFonts w:ascii="宋体" w:hAnsi="宋体" w:cs="宋体" w:hint="eastAsia"/>
          <w:kern w:val="0"/>
          <w:szCs w:val="21"/>
        </w:rPr>
        <w:t>2.开标时间和地点：定于</w:t>
      </w:r>
      <w:r>
        <w:rPr>
          <w:rFonts w:ascii="宋体" w:hAnsi="宋体" w:hint="eastAsia"/>
          <w:bCs/>
          <w:color w:val="0000FF"/>
          <w:u w:val="single"/>
        </w:rPr>
        <w:t>****年**月**日**:**</w:t>
      </w:r>
      <w:r>
        <w:rPr>
          <w:rFonts w:ascii="宋体" w:hAnsi="宋体" w:cs="宋体" w:hint="eastAsia"/>
          <w:kern w:val="0"/>
          <w:szCs w:val="21"/>
        </w:rPr>
        <w:t>（北京时间），在深圳市振东招标代理有限公司公开开标。供应商可以登录“深圳政府采购智慧平台用户网上办事子系统（http://zfcg.szggzy.com:8</w:t>
      </w:r>
      <w:r>
        <w:rPr>
          <w:rFonts w:ascii="宋体" w:hAnsi="宋体" w:cs="宋体"/>
          <w:kern w:val="0"/>
          <w:szCs w:val="21"/>
        </w:rPr>
        <w:t>081</w:t>
      </w:r>
      <w:r>
        <w:rPr>
          <w:rFonts w:ascii="宋体" w:hAnsi="宋体" w:cs="宋体" w:hint="eastAsia"/>
          <w:kern w:val="0"/>
          <w:szCs w:val="21"/>
        </w:rPr>
        <w:t>/TPBidder/memberLogin）”，在“【我的项目】→【项目流程】→【开标及解密】”进行在线解密、查询开标情况。    </w:t>
      </w:r>
    </w:p>
    <w:p>
      <w:pPr>
        <w:spacing w:line="360" w:lineRule="auto"/>
        <w:ind w:firstLine="420"/>
        <w:jc w:val="left"/>
        <w:rPr>
          <w:rFonts w:ascii="宋体" w:hAnsi="宋体" w:cs="宋体"/>
          <w:kern w:val="0"/>
          <w:szCs w:val="21"/>
        </w:rPr>
      </w:pPr>
      <w:r>
        <w:rPr>
          <w:rFonts w:ascii="宋体" w:hAnsi="宋体" w:cs="宋体" w:hint="eastAsia"/>
          <w:kern w:val="0"/>
          <w:szCs w:val="21"/>
        </w:rPr>
        <w:t>3.在线解密：投标人须在开标当日</w:t>
      </w:r>
      <w:r>
        <w:rPr>
          <w:rFonts w:ascii="宋体" w:hAnsi="宋体" w:hint="eastAsia"/>
          <w:bCs/>
          <w:color w:val="0000FF"/>
          <w:u w:val="single"/>
        </w:rPr>
        <w:t>**:**-**:**</w:t>
      </w:r>
      <w:r>
        <w:rPr>
          <w:rFonts w:ascii="宋体" w:hAnsi="宋体" w:cs="宋体" w:hint="eastAsia"/>
          <w:kern w:val="0"/>
          <w:szCs w:val="21"/>
        </w:rPr>
        <w:t>期间进行解密，逾期未解密的作无效处理。解密方法：登录“深圳政府采购智慧平台用户网上办事子系统（http://zfcg.szggzy.com:8</w:t>
      </w:r>
      <w:r>
        <w:rPr>
          <w:rFonts w:ascii="宋体" w:hAnsi="宋体" w:cs="宋体"/>
          <w:kern w:val="0"/>
          <w:szCs w:val="21"/>
        </w:rPr>
        <w:t>081</w:t>
      </w:r>
      <w:r>
        <w:rPr>
          <w:rFonts w:ascii="宋体" w:hAnsi="宋体" w:cs="宋体" w:hint="eastAsia"/>
          <w:kern w:val="0"/>
          <w:szCs w:val="21"/>
        </w:rPr>
        <w:t>/TPBidder/memberLogin）”，使用本单位制作电子投标文件同一个电子密钥，在“【我的项目】→【项目流程】→【开标及解密】”进行在线解密、查询开标情况。</w:t>
      </w:r>
    </w:p>
    <w:p>
      <w:pPr>
        <w:pStyle w:val="NormalWeb"/>
        <w:widowControl/>
        <w:spacing w:beforeAutospacing="0" w:afterAutospacing="0" w:line="360" w:lineRule="auto"/>
        <w:ind w:firstLine="480" w:firstLineChars="200"/>
        <w:jc w:val="both"/>
        <w:rPr>
          <w:rFonts w:ascii="宋体" w:hAnsi="宋体" w:cs="宋体" w:hint="eastAsia"/>
          <w:sz w:val="21"/>
          <w:szCs w:val="21"/>
        </w:rPr>
      </w:pPr>
    </w:p>
    <w:p>
      <w:pPr>
        <w:pStyle w:val="NormalWeb"/>
        <w:widowControl/>
        <w:spacing w:beforeAutospacing="0" w:afterAutospacing="0" w:line="360" w:lineRule="auto"/>
        <w:outlineLvl w:val="2"/>
        <w:rPr>
          <w:rFonts w:ascii="宋体" w:hAnsi="宋体" w:cs="宋体" w:hint="eastAsia"/>
          <w:sz w:val="21"/>
          <w:szCs w:val="21"/>
        </w:rPr>
      </w:pPr>
      <w:r>
        <w:rPr>
          <w:rFonts w:ascii="宋体" w:hAnsi="宋体" w:cs="宋体" w:hint="eastAsia"/>
          <w:sz w:val="21"/>
          <w:szCs w:val="21"/>
        </w:rPr>
        <w:t>五、公告期限</w:t>
      </w:r>
    </w:p>
    <w:p>
      <w:pPr>
        <w:pStyle w:val="NormalWeb"/>
        <w:widowControl/>
        <w:spacing w:beforeAutospacing="0" w:afterAutospacing="0" w:line="360" w:lineRule="auto"/>
        <w:ind w:firstLine="480" w:firstLineChars="200"/>
        <w:rPr>
          <w:rFonts w:ascii="宋体" w:hAnsi="宋体" w:cs="宋体" w:hint="eastAsia"/>
          <w:sz w:val="21"/>
          <w:szCs w:val="21"/>
        </w:rPr>
      </w:pPr>
      <w:r>
        <w:rPr>
          <w:rFonts w:ascii="宋体" w:hAnsi="宋体" w:cs="宋体" w:hint="eastAsia"/>
          <w:sz w:val="21"/>
          <w:szCs w:val="21"/>
        </w:rPr>
        <w:t>自本公告发布之日起5个工作日。</w:t>
      </w:r>
    </w:p>
    <w:p>
      <w:pPr>
        <w:pStyle w:val="NormalWeb"/>
        <w:widowControl/>
        <w:spacing w:beforeAutospacing="0" w:afterAutospacing="0" w:line="360" w:lineRule="auto"/>
        <w:ind w:firstLine="480" w:firstLineChars="200"/>
        <w:rPr>
          <w:rFonts w:ascii="宋体" w:hAnsi="宋体" w:cs="宋体" w:hint="eastAsia"/>
          <w:sz w:val="21"/>
          <w:szCs w:val="21"/>
        </w:rPr>
      </w:pPr>
    </w:p>
    <w:p>
      <w:pPr>
        <w:pStyle w:val="NormalWeb"/>
        <w:widowControl/>
        <w:spacing w:beforeAutospacing="0" w:afterAutospacing="0" w:line="360" w:lineRule="auto"/>
        <w:outlineLvl w:val="2"/>
        <w:rPr>
          <w:rFonts w:ascii="宋体" w:hAnsi="宋体" w:cs="宋体" w:hint="eastAsia"/>
          <w:sz w:val="21"/>
          <w:szCs w:val="21"/>
        </w:rPr>
      </w:pPr>
      <w:r>
        <w:rPr>
          <w:rFonts w:ascii="宋体" w:hAnsi="宋体" w:cs="宋体" w:hint="eastAsia"/>
          <w:sz w:val="21"/>
          <w:szCs w:val="21"/>
        </w:rPr>
        <w:t>六、其他补充事宜</w:t>
      </w:r>
    </w:p>
    <w:p>
      <w:pPr>
        <w:pStyle w:val="BodyText"/>
        <w:ind w:firstLine="480" w:firstLineChars="200"/>
        <w:jc w:val="left"/>
        <w:rPr>
          <w:rFonts w:ascii="宋体" w:hAnsi="宋体" w:cs="宋体" w:hint="eastAsia"/>
          <w:b w:val="0"/>
          <w:bCs w:val="0"/>
          <w:kern w:val="0"/>
          <w:sz w:val="21"/>
          <w:szCs w:val="21"/>
        </w:rPr>
      </w:pPr>
      <w:r>
        <w:rPr>
          <w:rFonts w:ascii="宋体" w:hAnsi="宋体" w:cs="宋体" w:hint="eastAsia"/>
          <w:b w:val="0"/>
          <w:bCs w:val="0"/>
          <w:kern w:val="0"/>
          <w:sz w:val="21"/>
          <w:szCs w:val="21"/>
        </w:rPr>
        <w:t>1.本项目实行网上投标，采用电子投标文件。</w:t>
      </w:r>
    </w:p>
    <w:p>
      <w:pPr>
        <w:pStyle w:val="BodyText"/>
        <w:ind w:firstLine="480" w:firstLineChars="200"/>
        <w:jc w:val="left"/>
        <w:rPr>
          <w:rFonts w:ascii="宋体" w:hAnsi="宋体" w:cs="宋体" w:hint="eastAsia"/>
          <w:b w:val="0"/>
          <w:bCs w:val="0"/>
          <w:kern w:val="0"/>
          <w:sz w:val="21"/>
          <w:szCs w:val="21"/>
        </w:rPr>
      </w:pPr>
      <w:r>
        <w:rPr>
          <w:rFonts w:ascii="宋体" w:hAnsi="宋体" w:cs="宋体" w:hint="eastAsia"/>
          <w:b w:val="0"/>
          <w:bCs w:val="0"/>
          <w:kern w:val="0"/>
          <w:sz w:val="21"/>
          <w:szCs w:val="21"/>
        </w:rPr>
        <w:t>2.报名操作：投标人如确定参加投标，首先要在深圳政府采购智慧平台网上办事子系统（http://zfcg.szggzy.com:8081/TPBidder/memberLogin）网上报名投标，方法为在网上办事子系统后点击“【招标公告】→【我要报名】”；如果网上报名后上传了投标文件，又不参加投标，应再到【我的项目】→【项目流程】→【递交投标(应答)文件】功能点中进行“【撤回本次投标】”操作；如果是未注册为深圳政府采购智慧平台（http://zfcg.szggzy.com:8081/）的供应商，请先办理密钥，并前往深圳公共资源交易中心（深圳交易集团有限公司政府采购业务分公司）绑定深圳政府采购智慧平台用户（地址：深圳市福田区景田东路70号雅枫国际酒店北侧二楼市政府采购业务窗口服务大厅；电子密钥办理咨询电话：075583948165），再进行投标报名。在网上报名后，点击“【我的项目】→【项目流程】→【采购文件下载】”进行招标文件的下载。</w:t>
      </w:r>
    </w:p>
    <w:p>
      <w:pPr>
        <w:pStyle w:val="BodyText"/>
        <w:ind w:firstLine="480" w:firstLineChars="200"/>
        <w:jc w:val="left"/>
        <w:rPr>
          <w:rFonts w:ascii="宋体" w:hAnsi="宋体" w:cs="宋体" w:hint="eastAsia"/>
          <w:b w:val="0"/>
          <w:bCs w:val="0"/>
          <w:kern w:val="0"/>
          <w:sz w:val="21"/>
          <w:szCs w:val="21"/>
        </w:rPr>
      </w:pPr>
      <w:r>
        <w:rPr>
          <w:rFonts w:ascii="宋体" w:hAnsi="宋体" w:cs="宋体" w:hint="eastAsia"/>
          <w:b w:val="0"/>
          <w:bCs w:val="0"/>
          <w:kern w:val="0"/>
          <w:sz w:val="21"/>
          <w:szCs w:val="21"/>
        </w:rPr>
        <w:t>3.采购文件澄清/修改事项：****年**月**日**时前（北京时间），供应商如认为采购文件存在不明确、不清晰和前后不一致等问题，要求对采购文件作出澄清的，可登录深圳政府采购智慧平台（http://zfcg.szggzy.com:8081/）→“深圳政府采购智慧平台用户网上办事子系统（http://zfcg.szggzy.com:8081/TPBidder/memberLogin）”，在“【我的项目】→【项目流程】→【提问】”功能点中填写需澄清内容。****年**月**日**时前（北京时间）将采购文件澄清/修改情况在“【我的项目】→【项目流程】→【答疑澄清文件下载】”中公布，望投标人予以关注。</w:t>
      </w:r>
    </w:p>
    <w:p>
      <w:pPr>
        <w:pStyle w:val="BodyText"/>
        <w:ind w:firstLine="480" w:firstLineChars="200"/>
        <w:jc w:val="left"/>
        <w:rPr>
          <w:rFonts w:ascii="宋体" w:hAnsi="宋体" w:cs="宋体" w:hint="eastAsia"/>
          <w:b w:val="0"/>
          <w:bCs w:val="0"/>
          <w:kern w:val="0"/>
          <w:sz w:val="21"/>
          <w:szCs w:val="21"/>
        </w:rPr>
      </w:pPr>
      <w:r>
        <w:rPr>
          <w:rFonts w:ascii="宋体" w:hAnsi="宋体" w:cs="宋体" w:hint="eastAsia"/>
          <w:b w:val="0"/>
          <w:bCs w:val="0"/>
          <w:kern w:val="0"/>
          <w:sz w:val="21"/>
          <w:szCs w:val="21"/>
        </w:rPr>
        <w:t>（重要提示：“提出采购文件澄清要求”不等同于“对采购文件质疑”，供应商提出的澄清要求内容如出现“质疑”字眼，将予以退回。供应商如认为采购文件存在限制性、倾向性、其权益受到损害，应在采购文件公布之日起七个工作日内以书面形式提出质疑，质疑材料的内容应符合《政府采购质疑和投诉办法》（财政部令第94号）第十二条的要求。根据《深圳经济特区政府采购条例》第四十二条“供应商投诉的事项应当是经过质疑的事项”的规定，未经正式质疑的，将影响供应商行使向财政部门提起投诉的权利。）</w:t>
      </w:r>
    </w:p>
    <w:p>
      <w:pPr>
        <w:pStyle w:val="BodyText"/>
        <w:ind w:firstLine="480" w:firstLineChars="200"/>
        <w:jc w:val="left"/>
        <w:rPr>
          <w:rFonts w:ascii="宋体" w:hAnsi="宋体" w:cs="宋体" w:hint="eastAsia"/>
          <w:b w:val="0"/>
          <w:bCs w:val="0"/>
          <w:kern w:val="0"/>
          <w:sz w:val="21"/>
          <w:szCs w:val="21"/>
        </w:rPr>
      </w:pPr>
      <w:r>
        <w:rPr>
          <w:rFonts w:ascii="宋体" w:hAnsi="宋体" w:cs="宋体" w:hint="eastAsia"/>
          <w:b w:val="0"/>
          <w:bCs w:val="0"/>
          <w:kern w:val="0"/>
          <w:sz w:val="21"/>
          <w:szCs w:val="21"/>
        </w:rPr>
        <w:t>4.采购代理机构开户银行及相关信息：</w:t>
      </w:r>
    </w:p>
    <w:p>
      <w:pPr>
        <w:pStyle w:val="BodyText"/>
        <w:ind w:firstLine="480" w:firstLineChars="200"/>
        <w:jc w:val="left"/>
        <w:rPr>
          <w:rFonts w:ascii="宋体" w:hAnsi="宋体" w:cs="宋体" w:hint="eastAsia"/>
          <w:b w:val="0"/>
          <w:bCs w:val="0"/>
          <w:kern w:val="0"/>
          <w:sz w:val="21"/>
          <w:szCs w:val="21"/>
        </w:rPr>
      </w:pPr>
      <w:r>
        <w:rPr>
          <w:rFonts w:ascii="宋体" w:hAnsi="宋体" w:cs="宋体" w:hint="eastAsia"/>
          <w:b w:val="0"/>
          <w:bCs w:val="0"/>
          <w:kern w:val="0"/>
          <w:sz w:val="21"/>
          <w:szCs w:val="21"/>
        </w:rPr>
        <w:t>开户银行：招商银行深圳分行安联支行</w:t>
      </w:r>
    </w:p>
    <w:p>
      <w:pPr>
        <w:pStyle w:val="BodyText"/>
        <w:ind w:firstLine="480" w:firstLineChars="200"/>
        <w:jc w:val="left"/>
        <w:rPr>
          <w:rFonts w:ascii="宋体" w:hAnsi="宋体" w:cs="宋体" w:hint="eastAsia"/>
          <w:b w:val="0"/>
          <w:bCs w:val="0"/>
          <w:kern w:val="0"/>
          <w:sz w:val="21"/>
          <w:szCs w:val="21"/>
        </w:rPr>
      </w:pPr>
      <w:r>
        <w:rPr>
          <w:rFonts w:ascii="宋体" w:hAnsi="宋体" w:cs="宋体" w:hint="eastAsia"/>
          <w:b w:val="0"/>
          <w:bCs w:val="0"/>
          <w:kern w:val="0"/>
          <w:sz w:val="21"/>
          <w:szCs w:val="21"/>
        </w:rPr>
        <w:t>开户名称：深圳市振东招标代理有限公司</w:t>
      </w:r>
    </w:p>
    <w:p>
      <w:pPr>
        <w:pStyle w:val="BodyText"/>
        <w:ind w:firstLine="480" w:firstLineChars="200"/>
        <w:jc w:val="left"/>
        <w:rPr>
          <w:rFonts w:ascii="宋体" w:hAnsi="宋体" w:cs="宋体" w:hint="eastAsia"/>
          <w:b w:val="0"/>
          <w:bCs w:val="0"/>
          <w:kern w:val="0"/>
          <w:sz w:val="21"/>
          <w:szCs w:val="21"/>
        </w:rPr>
      </w:pPr>
      <w:r>
        <w:rPr>
          <w:rFonts w:ascii="宋体" w:hAnsi="宋体" w:cs="宋体" w:hint="eastAsia"/>
          <w:b w:val="0"/>
          <w:bCs w:val="0"/>
          <w:kern w:val="0"/>
          <w:sz w:val="21"/>
          <w:szCs w:val="21"/>
        </w:rPr>
        <w:t>银行账号：755914788210601</w:t>
      </w:r>
    </w:p>
    <w:p>
      <w:pPr>
        <w:pStyle w:val="BodyText"/>
        <w:ind w:firstLine="480" w:firstLineChars="200"/>
        <w:jc w:val="left"/>
        <w:rPr>
          <w:rFonts w:ascii="宋体" w:hAnsi="宋体" w:cs="宋体" w:hint="eastAsia"/>
          <w:b w:val="0"/>
          <w:bCs w:val="0"/>
          <w:kern w:val="0"/>
          <w:sz w:val="21"/>
          <w:szCs w:val="21"/>
        </w:rPr>
      </w:pPr>
      <w:r>
        <w:rPr>
          <w:rFonts w:ascii="宋体" w:hAnsi="宋体" w:cs="宋体" w:hint="eastAsia"/>
          <w:b w:val="0"/>
          <w:bCs w:val="0"/>
          <w:kern w:val="0"/>
          <w:sz w:val="21"/>
          <w:szCs w:val="21"/>
        </w:rPr>
        <w:t>5.公示网址:</w:t>
      </w:r>
    </w:p>
    <w:p>
      <w:pPr>
        <w:pStyle w:val="BodyText"/>
        <w:ind w:firstLine="480" w:firstLineChars="200"/>
        <w:jc w:val="left"/>
        <w:rPr>
          <w:rFonts w:ascii="宋体" w:hAnsi="宋体" w:cs="宋体" w:hint="eastAsia"/>
          <w:b w:val="0"/>
          <w:bCs w:val="0"/>
          <w:kern w:val="0"/>
          <w:sz w:val="21"/>
          <w:szCs w:val="21"/>
        </w:rPr>
      </w:pPr>
      <w:r>
        <w:rPr>
          <w:rFonts w:ascii="宋体" w:hAnsi="宋体" w:cs="宋体" w:hint="eastAsia"/>
          <w:b w:val="0"/>
          <w:bCs w:val="0"/>
          <w:kern w:val="0"/>
          <w:sz w:val="21"/>
          <w:szCs w:val="21"/>
        </w:rPr>
        <w:t>①中国政府采购网（http://www.ccgp.gov.cn）；</w:t>
      </w:r>
    </w:p>
    <w:p>
      <w:pPr>
        <w:pStyle w:val="BodyText"/>
        <w:ind w:firstLine="480" w:firstLineChars="200"/>
        <w:jc w:val="left"/>
        <w:rPr>
          <w:rFonts w:ascii="宋体" w:hAnsi="宋体" w:cs="宋体" w:hint="eastAsia"/>
          <w:b w:val="0"/>
          <w:bCs w:val="0"/>
          <w:kern w:val="0"/>
          <w:sz w:val="21"/>
          <w:szCs w:val="21"/>
        </w:rPr>
      </w:pPr>
      <w:r>
        <w:rPr>
          <w:rFonts w:ascii="宋体" w:hAnsi="宋体" w:cs="宋体" w:hint="eastAsia"/>
          <w:b w:val="0"/>
          <w:bCs w:val="0"/>
          <w:kern w:val="0"/>
          <w:sz w:val="21"/>
          <w:szCs w:val="21"/>
        </w:rPr>
        <w:t>②深圳公共资源交易网（https://www.szggzy.com/）；</w:t>
      </w:r>
    </w:p>
    <w:p>
      <w:pPr>
        <w:pStyle w:val="BodyText"/>
        <w:ind w:firstLine="480" w:firstLineChars="200"/>
        <w:jc w:val="left"/>
        <w:rPr>
          <w:rFonts w:ascii="宋体" w:hAnsi="宋体" w:cs="宋体" w:hint="eastAsia"/>
          <w:b w:val="0"/>
          <w:bCs w:val="0"/>
          <w:kern w:val="0"/>
          <w:sz w:val="21"/>
          <w:szCs w:val="21"/>
        </w:rPr>
      </w:pPr>
      <w:r>
        <w:rPr>
          <w:rFonts w:ascii="宋体" w:hAnsi="宋体" w:cs="宋体" w:hint="eastAsia"/>
          <w:b w:val="0"/>
          <w:bCs w:val="0"/>
          <w:kern w:val="0"/>
          <w:sz w:val="21"/>
          <w:szCs w:val="21"/>
        </w:rPr>
        <w:t>③深圳市政府采购监管网（http://www.zfcg.sz.gov.cn）；</w:t>
      </w:r>
    </w:p>
    <w:p>
      <w:pPr>
        <w:pStyle w:val="BodyText"/>
        <w:ind w:firstLine="480" w:firstLineChars="200"/>
        <w:jc w:val="left"/>
        <w:rPr>
          <w:rFonts w:ascii="宋体" w:hAnsi="宋体" w:cs="宋体" w:hint="eastAsia"/>
          <w:b w:val="0"/>
          <w:bCs w:val="0"/>
          <w:kern w:val="0"/>
          <w:sz w:val="21"/>
          <w:szCs w:val="21"/>
        </w:rPr>
      </w:pPr>
      <w:r>
        <w:rPr>
          <w:rFonts w:ascii="宋体" w:hAnsi="宋体" w:cs="宋体" w:hint="eastAsia"/>
          <w:b w:val="0"/>
          <w:bCs w:val="0"/>
          <w:kern w:val="0"/>
          <w:sz w:val="21"/>
          <w:szCs w:val="21"/>
        </w:rPr>
        <w:t>④深圳市振东招标代理有限公司网站（http://www.szzdzb.cn）；</w:t>
      </w:r>
    </w:p>
    <w:p>
      <w:pPr>
        <w:pStyle w:val="BodyText"/>
        <w:ind w:firstLine="480" w:firstLineChars="200"/>
        <w:jc w:val="left"/>
        <w:rPr>
          <w:rFonts w:ascii="宋体" w:hAnsi="宋体" w:cs="宋体" w:hint="eastAsia"/>
          <w:b w:val="0"/>
          <w:bCs w:val="0"/>
          <w:kern w:val="0"/>
          <w:sz w:val="21"/>
          <w:szCs w:val="21"/>
        </w:rPr>
      </w:pPr>
      <w:r>
        <w:rPr>
          <w:rFonts w:ascii="宋体" w:hAnsi="宋体" w:cs="宋体" w:hint="eastAsia"/>
          <w:b w:val="0"/>
          <w:bCs w:val="0"/>
          <w:kern w:val="0"/>
          <w:sz w:val="21"/>
          <w:szCs w:val="21"/>
        </w:rPr>
        <w:t>投标人有义务在招标活动期间浏览以上网站，在以上网站公布的与本次招标项目有关的信息视为已送达各投标人。</w:t>
      </w:r>
    </w:p>
    <w:p>
      <w:pPr>
        <w:spacing w:line="360" w:lineRule="auto"/>
        <w:rPr>
          <w:rFonts w:ascii="宋体" w:hAnsi="宋体" w:cs="宋体" w:hint="eastAsia"/>
          <w:color w:val="000000"/>
          <w:szCs w:val="21"/>
        </w:rPr>
      </w:pPr>
      <w:bookmarkEnd w:id="17"/>
      <w:bookmarkEnd w:id="18"/>
      <w:bookmarkEnd w:id="19"/>
    </w:p>
    <w:p>
      <w:pPr>
        <w:pStyle w:val="NormalWeb"/>
        <w:widowControl/>
        <w:spacing w:beforeAutospacing="0" w:afterAutospacing="0" w:line="360" w:lineRule="auto"/>
        <w:outlineLvl w:val="2"/>
        <w:rPr>
          <w:rFonts w:ascii="宋体" w:hAnsi="宋体" w:cs="宋体"/>
          <w:sz w:val="21"/>
          <w:szCs w:val="21"/>
        </w:rPr>
      </w:pPr>
      <w:r>
        <w:rPr>
          <w:rFonts w:ascii="宋体" w:hAnsi="宋体" w:cs="宋体" w:hint="eastAsia"/>
          <w:sz w:val="21"/>
          <w:szCs w:val="21"/>
        </w:rPr>
        <w:t>七、对本次招标提出询问，请按以下方式联系。</w:t>
      </w:r>
    </w:p>
    <w:p>
      <w:pPr>
        <w:widowControl/>
        <w:spacing w:line="360" w:lineRule="auto"/>
        <w:ind w:firstLine="480" w:firstLineChars="200"/>
        <w:jc w:val="left"/>
        <w:rPr>
          <w:rFonts w:ascii="宋体" w:hAnsi="宋体" w:cs="宋体" w:hint="eastAsia"/>
          <w:color w:val="000000"/>
          <w:szCs w:val="21"/>
        </w:rPr>
      </w:pPr>
      <w:r>
        <w:rPr>
          <w:rFonts w:ascii="宋体" w:hAnsi="宋体" w:cs="宋体" w:hint="eastAsia"/>
          <w:color w:val="000000"/>
          <w:szCs w:val="21"/>
        </w:rPr>
        <w:t>1.采购人信息</w:t>
      </w:r>
    </w:p>
    <w:p>
      <w:pPr>
        <w:spacing w:line="360" w:lineRule="auto"/>
        <w:ind w:firstLine="720" w:firstLineChars="300"/>
        <w:jc w:val="left"/>
        <w:rPr>
          <w:rFonts w:ascii="宋体" w:hAnsi="宋体" w:cs="宋体" w:hint="eastAsia"/>
          <w:color w:val="000000"/>
          <w:szCs w:val="21"/>
        </w:rPr>
      </w:pPr>
      <w:r>
        <w:rPr>
          <w:rFonts w:ascii="宋体" w:hAnsi="宋体" w:cs="宋体" w:hint="eastAsia"/>
          <w:color w:val="000000"/>
          <w:szCs w:val="21"/>
        </w:rPr>
        <w:t>名　称：深圳职业技术学院</w:t>
      </w:r>
    </w:p>
    <w:p>
      <w:pPr>
        <w:spacing w:line="360" w:lineRule="auto"/>
        <w:ind w:firstLine="720" w:firstLineChars="300"/>
        <w:jc w:val="left"/>
        <w:rPr>
          <w:rFonts w:ascii="宋体" w:hAnsi="宋体" w:cs="宋体" w:hint="eastAsia"/>
          <w:color w:val="000000"/>
          <w:szCs w:val="21"/>
        </w:rPr>
      </w:pPr>
      <w:r>
        <w:rPr>
          <w:rFonts w:ascii="宋体" w:hAnsi="宋体" w:cs="宋体" w:hint="eastAsia"/>
          <w:color w:val="000000"/>
          <w:szCs w:val="21"/>
        </w:rPr>
        <w:t>地　址：深圳市南山区西丽湖深圳职业技术学院</w:t>
      </w:r>
    </w:p>
    <w:p>
      <w:pPr>
        <w:spacing w:line="360" w:lineRule="auto"/>
        <w:ind w:firstLine="720" w:firstLineChars="300"/>
        <w:jc w:val="left"/>
        <w:rPr>
          <w:rFonts w:ascii="宋体" w:hAnsi="宋体" w:cs="宋体" w:hint="eastAsia"/>
          <w:color w:val="000000"/>
          <w:szCs w:val="21"/>
        </w:rPr>
      </w:pPr>
      <w:r>
        <w:rPr>
          <w:rFonts w:ascii="宋体" w:hAnsi="宋体" w:cs="宋体" w:hint="eastAsia"/>
          <w:color w:val="000000"/>
          <w:szCs w:val="21"/>
        </w:rPr>
        <w:t>联系方式：李老师 0755-</w:t>
      </w:r>
      <w:r>
        <w:rPr>
          <w:rFonts w:ascii="宋体" w:hAnsi="宋体" w:cs="宋体" w:hint="eastAsia"/>
          <w:szCs w:val="21"/>
        </w:rPr>
        <w:t>26019169</w:t>
      </w:r>
    </w:p>
    <w:p/>
    <w:p>
      <w:pPr>
        <w:widowControl/>
        <w:spacing w:line="360" w:lineRule="auto"/>
        <w:ind w:firstLine="480" w:firstLineChars="200"/>
        <w:jc w:val="left"/>
        <w:rPr>
          <w:rFonts w:ascii="宋体" w:hAnsi="宋体" w:cs="宋体" w:hint="eastAsia"/>
          <w:color w:val="000000"/>
          <w:szCs w:val="21"/>
        </w:rPr>
      </w:pPr>
      <w:r>
        <w:rPr>
          <w:rFonts w:ascii="宋体" w:hAnsi="宋体" w:cs="宋体" w:hint="eastAsia"/>
          <w:color w:val="000000"/>
          <w:szCs w:val="21"/>
        </w:rPr>
        <w:t>2.采购代理机构信息</w:t>
      </w:r>
    </w:p>
    <w:p>
      <w:pPr>
        <w:spacing w:line="360" w:lineRule="auto"/>
        <w:ind w:firstLine="720" w:firstLineChars="300"/>
        <w:jc w:val="left"/>
        <w:rPr>
          <w:rFonts w:ascii="宋体" w:hAnsi="宋体" w:cs="宋体" w:hint="eastAsia"/>
          <w:color w:val="000000"/>
          <w:szCs w:val="21"/>
        </w:rPr>
      </w:pPr>
      <w:r>
        <w:rPr>
          <w:rFonts w:ascii="宋体" w:hAnsi="宋体" w:cs="宋体" w:hint="eastAsia"/>
          <w:color w:val="000000"/>
          <w:szCs w:val="21"/>
        </w:rPr>
        <w:t>名　称：深圳市振东招标代理有限公司</w:t>
      </w:r>
    </w:p>
    <w:p>
      <w:pPr>
        <w:spacing w:line="360" w:lineRule="auto"/>
        <w:ind w:firstLine="720" w:firstLineChars="300"/>
        <w:jc w:val="left"/>
        <w:rPr>
          <w:rFonts w:ascii="宋体" w:hAnsi="宋体" w:cs="宋体" w:hint="eastAsia"/>
          <w:color w:val="000000"/>
          <w:szCs w:val="21"/>
        </w:rPr>
      </w:pPr>
      <w:r>
        <w:rPr>
          <w:rFonts w:ascii="宋体" w:hAnsi="宋体" w:cs="宋体" w:hint="eastAsia"/>
          <w:color w:val="000000"/>
          <w:szCs w:val="21"/>
        </w:rPr>
        <w:t>地　址：深圳市罗湖区红宝路京基金融中心D座（蔡屋围金龙大厦）10楼03号-06号</w:t>
      </w:r>
    </w:p>
    <w:p>
      <w:pPr>
        <w:spacing w:line="360" w:lineRule="auto"/>
        <w:ind w:firstLine="720" w:firstLineChars="300"/>
        <w:jc w:val="left"/>
        <w:rPr>
          <w:rFonts w:ascii="宋体" w:hAnsi="宋体" w:cs="宋体"/>
          <w:color w:val="000000"/>
          <w:szCs w:val="21"/>
        </w:rPr>
      </w:pPr>
      <w:r>
        <w:rPr>
          <w:rFonts w:ascii="宋体" w:hAnsi="宋体" w:cs="宋体" w:hint="eastAsia"/>
          <w:color w:val="000000"/>
          <w:szCs w:val="21"/>
        </w:rPr>
        <w:t>联系方式：0755-82786018-812</w:t>
      </w:r>
    </w:p>
    <w:p/>
    <w:p>
      <w:pPr>
        <w:widowControl/>
        <w:spacing w:line="360" w:lineRule="auto"/>
        <w:ind w:firstLine="480" w:firstLineChars="200"/>
        <w:jc w:val="left"/>
        <w:rPr>
          <w:rFonts w:ascii="宋体" w:hAnsi="宋体" w:cs="宋体" w:hint="eastAsia"/>
          <w:color w:val="000000"/>
          <w:szCs w:val="21"/>
          <w:u w:val="single"/>
        </w:rPr>
      </w:pPr>
      <w:r>
        <w:rPr>
          <w:rFonts w:ascii="宋体" w:hAnsi="宋体" w:cs="宋体" w:hint="eastAsia"/>
          <w:color w:val="000000"/>
          <w:szCs w:val="21"/>
        </w:rPr>
        <w:t>3.项目联系方式</w:t>
      </w:r>
    </w:p>
    <w:p>
      <w:pPr>
        <w:spacing w:line="360" w:lineRule="auto"/>
        <w:ind w:firstLine="720" w:firstLineChars="300"/>
        <w:jc w:val="left"/>
        <w:rPr>
          <w:rFonts w:hAnsi="宋体" w:cs="宋体" w:hint="eastAsia"/>
          <w:color w:val="000000"/>
          <w:szCs w:val="21"/>
        </w:rPr>
      </w:pPr>
      <w:r>
        <w:rPr>
          <w:rFonts w:hAnsi="宋体" w:cs="宋体" w:hint="eastAsia"/>
          <w:color w:val="000000"/>
          <w:szCs w:val="21"/>
        </w:rPr>
        <w:t>项目联系人：许小姐</w:t>
      </w:r>
    </w:p>
    <w:p>
      <w:pPr>
        <w:spacing w:line="360" w:lineRule="auto"/>
        <w:ind w:firstLine="720" w:firstLineChars="300"/>
        <w:jc w:val="left"/>
        <w:rPr>
          <w:rFonts w:ascii="宋体" w:hAnsi="宋体" w:cs="宋体"/>
        </w:rPr>
      </w:pPr>
      <w:r>
        <w:rPr>
          <w:rFonts w:ascii="宋体" w:hAnsi="宋体" w:cs="宋体" w:hint="eastAsia"/>
          <w:color w:val="000000"/>
          <w:szCs w:val="21"/>
        </w:rPr>
        <w:t>电　话：0755-82786018-812</w:t>
      </w:r>
    </w:p>
    <w:p>
      <w:pPr>
        <w:rPr>
          <w:rFonts w:cs="宋体" w:hint="eastAsia"/>
          <w:highlight w:val="yellow"/>
        </w:rPr>
      </w:pPr>
    </w:p>
    <w:p>
      <w:pPr>
        <w:rPr>
          <w:rFonts w:cs="宋体" w:hint="eastAsia"/>
          <w:highlight w:val="yellow"/>
        </w:rPr>
      </w:pPr>
    </w:p>
    <w:p>
      <w:pPr>
        <w:rPr>
          <w:rFonts w:cs="宋体" w:hint="eastAsia"/>
          <w:highlight w:val="yellow"/>
        </w:rPr>
      </w:pPr>
    </w:p>
    <w:p>
      <w:pPr>
        <w:pStyle w:val="Heading2"/>
        <w:rPr>
          <w:rFonts w:cs="宋体" w:hint="eastAsia"/>
          <w:sz w:val="21"/>
          <w:szCs w:val="21"/>
        </w:rPr>
      </w:pPr>
      <w:r>
        <w:rPr>
          <w:rFonts w:cs="宋体" w:hint="eastAsia"/>
          <w:highlight w:val="yellow"/>
        </w:rPr>
        <w:t>完整公告内容以网站发布信息为准，详见：</w:t>
      </w:r>
      <w:r>
        <w:rPr>
          <w:rFonts w:hint="eastAsia"/>
          <w:color w:val="000000"/>
          <w:highlight w:val="yellow"/>
        </w:rPr>
        <w:t>http://zfcg.szggzy.com:8081</w:t>
      </w:r>
      <w:r>
        <w:rPr>
          <w:rFonts w:cs="宋体" w:hint="eastAsia"/>
        </w:rPr>
        <w:br w:type="page"/>
      </w:r>
      <w:r>
        <w:rPr>
          <w:rFonts w:cs="宋体" w:hint="eastAsia"/>
          <w:sz w:val="30"/>
          <w:szCs w:val="30"/>
        </w:rPr>
        <w:t>第二章 招标项目需求</w:t>
      </w:r>
    </w:p>
    <w:p>
      <w:pPr>
        <w:spacing w:line="360" w:lineRule="auto"/>
        <w:outlineLvl w:val="2"/>
        <w:rPr>
          <w:rFonts w:ascii="宋体" w:hAnsi="宋体" w:cs="宋体" w:hint="eastAsia"/>
          <w:b/>
          <w:bCs/>
          <w:szCs w:val="21"/>
        </w:rPr>
      </w:pPr>
      <w:bookmarkStart w:id="20" w:name="_Toc73521635"/>
      <w:bookmarkStart w:id="21" w:name="_Toc60631620"/>
      <w:bookmarkStart w:id="22" w:name="_Toc73521547"/>
      <w:bookmarkStart w:id="23" w:name="_Toc73517639"/>
      <w:bookmarkStart w:id="24" w:name="_Toc101074876"/>
      <w:bookmarkStart w:id="25" w:name="_Toc100052364"/>
      <w:bookmarkStart w:id="26" w:name="_Toc73518117"/>
      <w:bookmarkStart w:id="27" w:name="_Toc60560625"/>
      <w:r>
        <w:rPr>
          <w:rFonts w:ascii="宋体" w:hAnsi="宋体" w:cs="宋体" w:hint="eastAsia"/>
          <w:b/>
          <w:bCs/>
          <w:szCs w:val="21"/>
        </w:rPr>
        <w:t>一、对通用条款的补充内容</w:t>
      </w:r>
    </w:p>
    <w:tbl>
      <w:tblPr>
        <w:tblStyle w:val="TableNormal"/>
        <w:tblW w:w="8600" w:type="dxa"/>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Look w:val="0000"/>
      </w:tblPr>
      <w:tblGrid>
        <w:gridCol w:w="680"/>
        <w:gridCol w:w="7920"/>
      </w:tblGrid>
      <w:tr>
        <w:tblPrEx>
          <w:tblW w:w="8600" w:type="dxa"/>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Look w:val="0000"/>
        </w:tblPrEx>
        <w:trPr>
          <w:trHeight w:val="319"/>
        </w:trPr>
        <w:tc>
          <w:tcPr>
            <w:tcW w:w="680" w:type="dxa"/>
            <w:vAlign w:val="center"/>
          </w:tcPr>
          <w:p>
            <w:pPr>
              <w:snapToGrid w:val="0"/>
              <w:spacing w:line="360" w:lineRule="auto"/>
              <w:contextualSpacing/>
              <w:jc w:val="center"/>
              <w:rPr>
                <w:rFonts w:ascii="宋体" w:hAnsi="宋体" w:cs="宋体" w:hint="eastAsia"/>
                <w:szCs w:val="21"/>
              </w:rPr>
            </w:pPr>
            <w:bookmarkEnd w:id="20"/>
            <w:bookmarkEnd w:id="21"/>
            <w:bookmarkEnd w:id="22"/>
            <w:bookmarkEnd w:id="23"/>
            <w:bookmarkEnd w:id="24"/>
            <w:bookmarkEnd w:id="25"/>
            <w:bookmarkEnd w:id="26"/>
            <w:bookmarkEnd w:id="27"/>
            <w:r>
              <w:rPr>
                <w:rFonts w:ascii="宋体" w:hAnsi="宋体" w:cs="宋体" w:hint="eastAsia"/>
                <w:szCs w:val="21"/>
              </w:rPr>
              <w:t>序号</w:t>
            </w:r>
          </w:p>
        </w:tc>
        <w:tc>
          <w:tcPr>
            <w:tcW w:w="7920" w:type="dxa"/>
          </w:tcPr>
          <w:p>
            <w:pPr>
              <w:snapToGrid w:val="0"/>
              <w:spacing w:line="360" w:lineRule="auto"/>
              <w:ind w:firstLine="3545" w:firstLineChars="1477"/>
              <w:contextualSpacing/>
              <w:rPr>
                <w:rFonts w:ascii="宋体" w:hAnsi="宋体" w:cs="宋体" w:hint="eastAsia"/>
                <w:szCs w:val="21"/>
              </w:rPr>
            </w:pPr>
            <w:r>
              <w:rPr>
                <w:rFonts w:ascii="宋体" w:hAnsi="宋体" w:cs="宋体" w:hint="eastAsia"/>
                <w:szCs w:val="21"/>
              </w:rPr>
              <w:t>内容</w:t>
            </w:r>
          </w:p>
        </w:tc>
      </w:tr>
      <w:tr>
        <w:tblPrEx>
          <w:tblW w:w="8600" w:type="dxa"/>
          <w:tblInd w:w="18" w:type="dxa"/>
          <w:tblLayout w:type="fixed"/>
          <w:tblCellMar>
            <w:top w:w="0" w:type="dxa"/>
            <w:left w:w="108" w:type="dxa"/>
            <w:bottom w:w="0" w:type="dxa"/>
            <w:right w:w="108" w:type="dxa"/>
          </w:tblCellMar>
          <w:tblLook w:val="0000"/>
        </w:tblPrEx>
        <w:trPr>
          <w:trHeight w:val="90"/>
        </w:trPr>
        <w:tc>
          <w:tcPr>
            <w:tcW w:w="680" w:type="dxa"/>
            <w:vAlign w:val="center"/>
          </w:tcPr>
          <w:p>
            <w:pPr>
              <w:snapToGrid w:val="0"/>
              <w:spacing w:line="360" w:lineRule="auto"/>
              <w:contextualSpacing/>
              <w:jc w:val="center"/>
              <w:rPr>
                <w:rFonts w:ascii="宋体" w:hAnsi="宋体" w:cs="宋体" w:hint="eastAsia"/>
                <w:szCs w:val="21"/>
              </w:rPr>
            </w:pPr>
            <w:r>
              <w:rPr>
                <w:rFonts w:ascii="宋体" w:hAnsi="宋体" w:cs="宋体" w:hint="eastAsia"/>
                <w:szCs w:val="21"/>
              </w:rPr>
              <w:t>1</w:t>
            </w:r>
          </w:p>
        </w:tc>
        <w:tc>
          <w:tcPr>
            <w:tcW w:w="7920" w:type="dxa"/>
          </w:tcPr>
          <w:p>
            <w:pPr>
              <w:snapToGrid w:val="0"/>
              <w:spacing w:line="360" w:lineRule="auto"/>
              <w:contextualSpacing/>
              <w:rPr>
                <w:rFonts w:ascii="宋体" w:hAnsi="宋体" w:cs="宋体" w:hint="eastAsia"/>
                <w:szCs w:val="21"/>
              </w:rPr>
            </w:pPr>
            <w:r>
              <w:rPr>
                <w:rFonts w:ascii="宋体" w:hAnsi="宋体" w:cs="宋体" w:hint="eastAsia"/>
                <w:szCs w:val="21"/>
              </w:rPr>
              <w:t>投标报价以人民币报价。</w:t>
            </w:r>
          </w:p>
        </w:tc>
      </w:tr>
      <w:tr>
        <w:tblPrEx>
          <w:tblW w:w="8600" w:type="dxa"/>
          <w:tblInd w:w="18" w:type="dxa"/>
          <w:tblLayout w:type="fixed"/>
          <w:tblCellMar>
            <w:top w:w="0" w:type="dxa"/>
            <w:left w:w="108" w:type="dxa"/>
            <w:bottom w:w="0" w:type="dxa"/>
            <w:right w:w="108" w:type="dxa"/>
          </w:tblCellMar>
          <w:tblLook w:val="0000"/>
        </w:tblPrEx>
        <w:trPr>
          <w:trHeight w:val="319"/>
        </w:trPr>
        <w:tc>
          <w:tcPr>
            <w:tcW w:w="680" w:type="dxa"/>
            <w:vAlign w:val="center"/>
          </w:tcPr>
          <w:p>
            <w:pPr>
              <w:snapToGrid w:val="0"/>
              <w:spacing w:line="360" w:lineRule="auto"/>
              <w:contextualSpacing/>
              <w:jc w:val="center"/>
              <w:rPr>
                <w:rFonts w:ascii="宋体" w:hAnsi="宋体" w:cs="宋体" w:hint="eastAsia"/>
                <w:szCs w:val="21"/>
              </w:rPr>
            </w:pPr>
            <w:r>
              <w:rPr>
                <w:rFonts w:ascii="宋体" w:hAnsi="宋体" w:cs="宋体" w:hint="eastAsia"/>
                <w:szCs w:val="21"/>
              </w:rPr>
              <w:t>2</w:t>
            </w:r>
          </w:p>
        </w:tc>
        <w:tc>
          <w:tcPr>
            <w:tcW w:w="7920" w:type="dxa"/>
          </w:tcPr>
          <w:p>
            <w:pPr>
              <w:snapToGrid w:val="0"/>
              <w:spacing w:line="360" w:lineRule="auto"/>
              <w:contextualSpacing/>
              <w:rPr>
                <w:rFonts w:ascii="宋体" w:hAnsi="宋体" w:cs="宋体" w:hint="eastAsia"/>
                <w:szCs w:val="21"/>
              </w:rPr>
            </w:pPr>
            <w:r>
              <w:rPr>
                <w:rFonts w:ascii="宋体" w:hAnsi="宋体" w:cs="宋体" w:hint="eastAsia"/>
                <w:szCs w:val="21"/>
              </w:rPr>
              <w:t>投标有效期：从投标截止之日起</w:t>
            </w:r>
            <w:r>
              <w:rPr>
                <w:rFonts w:ascii="宋体" w:hAnsi="宋体" w:cs="宋体" w:hint="eastAsia"/>
                <w:szCs w:val="21"/>
                <w:u w:val="single"/>
              </w:rPr>
              <w:t>90</w:t>
            </w:r>
            <w:r>
              <w:rPr>
                <w:rFonts w:ascii="宋体" w:hAnsi="宋体" w:cs="宋体" w:hint="eastAsia"/>
                <w:szCs w:val="21"/>
              </w:rPr>
              <w:t>天内有效。</w:t>
            </w:r>
          </w:p>
        </w:tc>
      </w:tr>
      <w:tr>
        <w:tblPrEx>
          <w:tblW w:w="8600" w:type="dxa"/>
          <w:tblInd w:w="18" w:type="dxa"/>
          <w:tblLayout w:type="fixed"/>
          <w:tblCellMar>
            <w:top w:w="0" w:type="dxa"/>
            <w:left w:w="108" w:type="dxa"/>
            <w:bottom w:w="0" w:type="dxa"/>
            <w:right w:w="108" w:type="dxa"/>
          </w:tblCellMar>
          <w:tblLook w:val="0000"/>
        </w:tblPrEx>
        <w:trPr>
          <w:trHeight w:val="2716"/>
        </w:trPr>
        <w:tc>
          <w:tcPr>
            <w:tcW w:w="680" w:type="dxa"/>
            <w:vAlign w:val="center"/>
          </w:tcPr>
          <w:p>
            <w:pPr>
              <w:snapToGrid w:val="0"/>
              <w:spacing w:line="360" w:lineRule="auto"/>
              <w:contextualSpacing/>
              <w:jc w:val="center"/>
              <w:rPr>
                <w:rFonts w:ascii="宋体" w:hAnsi="宋体" w:cs="宋体" w:hint="eastAsia"/>
                <w:szCs w:val="21"/>
              </w:rPr>
            </w:pPr>
            <w:r>
              <w:rPr>
                <w:rFonts w:ascii="宋体" w:hAnsi="宋体" w:cs="宋体" w:hint="eastAsia"/>
                <w:szCs w:val="21"/>
              </w:rPr>
              <w:t>3</w:t>
            </w:r>
          </w:p>
        </w:tc>
        <w:tc>
          <w:tcPr>
            <w:tcW w:w="7920" w:type="dxa"/>
          </w:tcPr>
          <w:p>
            <w:pPr>
              <w:snapToGrid w:val="0"/>
              <w:spacing w:line="360" w:lineRule="auto"/>
              <w:contextualSpacing/>
              <w:rPr>
                <w:rFonts w:ascii="宋体" w:hAnsi="宋体" w:cs="宋体" w:hint="eastAsia"/>
                <w:szCs w:val="21"/>
              </w:rPr>
            </w:pPr>
            <w:r>
              <w:rPr>
                <w:rFonts w:ascii="宋体" w:hAnsi="宋体" w:cs="宋体" w:hint="eastAsia"/>
                <w:szCs w:val="21"/>
              </w:rPr>
              <w:t>特别提醒</w:t>
            </w:r>
          </w:p>
          <w:p>
            <w:pPr>
              <w:snapToGrid w:val="0"/>
              <w:spacing w:line="360" w:lineRule="auto"/>
              <w:contextualSpacing/>
              <w:rPr>
                <w:rFonts w:ascii="宋体" w:hAnsi="宋体" w:cs="宋体" w:hint="eastAsia"/>
                <w:szCs w:val="21"/>
              </w:rPr>
            </w:pPr>
            <w:r>
              <w:rPr>
                <w:rFonts w:ascii="宋体" w:hAnsi="宋体" w:cs="宋体" w:hint="eastAsia"/>
                <w:szCs w:val="21"/>
              </w:rPr>
              <w:t>投标文件正文将对外公开，投标文件附件不公开。投标人在使用投标书编制软件编制投标文件时，信息公开部分必须编制于“标书”，非信息公开部分编制于“附件”。</w:t>
            </w:r>
          </w:p>
          <w:p>
            <w:pPr>
              <w:snapToGrid w:val="0"/>
              <w:spacing w:line="360" w:lineRule="auto"/>
              <w:contextualSpacing/>
              <w:rPr>
                <w:rFonts w:ascii="宋体" w:hAnsi="宋体" w:cs="宋体" w:hint="eastAsia"/>
                <w:szCs w:val="21"/>
              </w:rPr>
            </w:pPr>
            <w:r>
              <w:rPr>
                <w:rFonts w:ascii="宋体" w:hAnsi="宋体" w:cs="宋体" w:hint="eastAsia"/>
                <w:szCs w:val="21"/>
              </w:rPr>
              <w:t>（我公司公布投标文件正文（信息公开部分）时为计算机截取信息公布，如投标人未按招标文件要求将需要公示的内容编制于“标书”内，将作投标无效处理；如投标人将非信息公开部分内容编制于“标书”内，不会作无效投标处理，但一切后果由投标人自行承担。）</w:t>
            </w:r>
          </w:p>
          <w:p>
            <w:pPr>
              <w:snapToGrid w:val="0"/>
              <w:spacing w:line="360" w:lineRule="auto"/>
              <w:contextualSpacing/>
              <w:rPr>
                <w:rFonts w:ascii="宋体" w:hAnsi="宋体" w:cs="宋体" w:hint="eastAsia"/>
                <w:szCs w:val="21"/>
              </w:rPr>
            </w:pPr>
            <w:r>
              <w:rPr>
                <w:rFonts w:ascii="宋体" w:hAnsi="宋体" w:cs="宋体" w:hint="eastAsia"/>
                <w:szCs w:val="21"/>
              </w:rPr>
              <w:t>投标人对公示信息的质疑，按现规定和做法执行。望各投标人要珍惜本次投标机会，诚实、守信、依法、依规投标。</w:t>
            </w:r>
          </w:p>
        </w:tc>
      </w:tr>
      <w:tr>
        <w:tblPrEx>
          <w:tblW w:w="8600" w:type="dxa"/>
          <w:tblInd w:w="18" w:type="dxa"/>
          <w:tblLayout w:type="fixed"/>
          <w:tblCellMar>
            <w:top w:w="0" w:type="dxa"/>
            <w:left w:w="108" w:type="dxa"/>
            <w:bottom w:w="0" w:type="dxa"/>
            <w:right w:w="108" w:type="dxa"/>
          </w:tblCellMar>
          <w:tblLook w:val="0000"/>
        </w:tblPrEx>
        <w:trPr>
          <w:trHeight w:val="919"/>
        </w:trPr>
        <w:tc>
          <w:tcPr>
            <w:tcW w:w="680" w:type="dxa"/>
            <w:vAlign w:val="center"/>
          </w:tcPr>
          <w:p>
            <w:pPr>
              <w:snapToGrid w:val="0"/>
              <w:spacing w:line="360" w:lineRule="auto"/>
              <w:contextualSpacing/>
              <w:jc w:val="center"/>
              <w:rPr>
                <w:rFonts w:ascii="宋体" w:hAnsi="宋体" w:cs="宋体" w:hint="eastAsia"/>
                <w:szCs w:val="21"/>
              </w:rPr>
            </w:pPr>
            <w:r>
              <w:rPr>
                <w:rFonts w:ascii="宋体" w:hAnsi="宋体" w:cs="宋体" w:hint="eastAsia"/>
                <w:szCs w:val="21"/>
              </w:rPr>
              <w:t>4</w:t>
            </w:r>
          </w:p>
        </w:tc>
        <w:tc>
          <w:tcPr>
            <w:tcW w:w="7920" w:type="dxa"/>
          </w:tcPr>
          <w:p>
            <w:pPr>
              <w:snapToGrid w:val="0"/>
              <w:spacing w:line="360" w:lineRule="auto"/>
              <w:contextualSpacing/>
              <w:rPr>
                <w:rFonts w:ascii="宋体" w:hAnsi="宋体" w:cs="宋体" w:hint="eastAsia"/>
                <w:szCs w:val="21"/>
              </w:rPr>
            </w:pPr>
            <w:r>
              <w:rPr>
                <w:rFonts w:ascii="宋体" w:hAnsi="宋体" w:cs="宋体" w:hint="eastAsia"/>
                <w:szCs w:val="21"/>
              </w:rPr>
              <w:t>评审委员会由评审专家组成，人数为五人或以上的单数，评审专家由主管部门通过随机方式从专家库中选取。采购人授权评审委员会确定中标供应商的，采购人可以派代表参加评审委员会，但采购人代表在评审委员会中所占比例不得超过三分之一。</w:t>
            </w:r>
          </w:p>
        </w:tc>
      </w:tr>
      <w:tr>
        <w:tblPrEx>
          <w:tblW w:w="8600" w:type="dxa"/>
          <w:tblInd w:w="18" w:type="dxa"/>
          <w:tblLayout w:type="fixed"/>
          <w:tblCellMar>
            <w:top w:w="0" w:type="dxa"/>
            <w:left w:w="108" w:type="dxa"/>
            <w:bottom w:w="0" w:type="dxa"/>
            <w:right w:w="108" w:type="dxa"/>
          </w:tblCellMar>
          <w:tblLook w:val="0000"/>
        </w:tblPrEx>
        <w:trPr>
          <w:trHeight w:val="919"/>
        </w:trPr>
        <w:tc>
          <w:tcPr>
            <w:tcW w:w="680" w:type="dxa"/>
            <w:tcBorders>
              <w:top w:val="single" w:sz="4" w:space="0" w:color="auto"/>
              <w:left w:val="single" w:sz="4" w:space="0" w:color="auto"/>
              <w:bottom w:val="single" w:sz="4" w:space="0" w:color="auto"/>
              <w:right w:val="single" w:sz="4" w:space="0" w:color="auto"/>
            </w:tcBorders>
            <w:vAlign w:val="center"/>
          </w:tcPr>
          <w:p>
            <w:pPr>
              <w:snapToGrid w:val="0"/>
              <w:spacing w:line="360" w:lineRule="auto"/>
              <w:contextualSpacing/>
              <w:jc w:val="center"/>
              <w:rPr>
                <w:rFonts w:ascii="宋体" w:hAnsi="宋体" w:cs="宋体" w:hint="eastAsia"/>
                <w:color w:val="000000"/>
                <w:szCs w:val="21"/>
              </w:rPr>
            </w:pPr>
            <w:r>
              <w:rPr>
                <w:rFonts w:ascii="宋体" w:hAnsi="宋体" w:cs="宋体" w:hint="eastAsia"/>
                <w:color w:val="000000"/>
                <w:szCs w:val="21"/>
              </w:rPr>
              <w:t>5</w:t>
            </w:r>
          </w:p>
        </w:tc>
        <w:tc>
          <w:tcPr>
            <w:tcW w:w="7920" w:type="dxa"/>
            <w:tcBorders>
              <w:top w:val="single" w:sz="4" w:space="0" w:color="auto"/>
              <w:left w:val="single" w:sz="4" w:space="0" w:color="auto"/>
              <w:bottom w:val="single" w:sz="4" w:space="0" w:color="auto"/>
              <w:right w:val="single" w:sz="4" w:space="0" w:color="auto"/>
            </w:tcBorders>
          </w:tcPr>
          <w:p>
            <w:pPr>
              <w:snapToGrid w:val="0"/>
              <w:spacing w:line="360" w:lineRule="auto"/>
              <w:contextualSpacing/>
              <w:rPr>
                <w:rFonts w:ascii="宋体" w:hAnsi="宋体" w:cs="宋体" w:hint="eastAsia"/>
                <w:color w:val="000000"/>
                <w:szCs w:val="21"/>
              </w:rPr>
            </w:pPr>
            <w:r>
              <w:rPr>
                <w:rFonts w:ascii="宋体" w:hAnsi="宋体" w:cs="宋体" w:hint="eastAsia"/>
                <w:szCs w:val="21"/>
              </w:rPr>
              <w:t>本项目实行网上投标，投标人必须在招标文件规定的投标截止时间前登录“深圳公共资源交易中心市区政府采购统一平台”，使用“应标管理-&gt;上传投标文件”功能点，将编制好的电子投标文件上传，投标文件大小不得超过100MB</w:t>
            </w:r>
          </w:p>
        </w:tc>
      </w:tr>
      <w:tr>
        <w:tblPrEx>
          <w:tblW w:w="8600" w:type="dxa"/>
          <w:tblInd w:w="18" w:type="dxa"/>
          <w:tblLayout w:type="fixed"/>
          <w:tblCellMar>
            <w:top w:w="0" w:type="dxa"/>
            <w:left w:w="108" w:type="dxa"/>
            <w:bottom w:w="0" w:type="dxa"/>
            <w:right w:w="108" w:type="dxa"/>
          </w:tblCellMar>
          <w:tblLook w:val="0000"/>
        </w:tblPrEx>
        <w:trPr>
          <w:trHeight w:val="339"/>
        </w:trPr>
        <w:tc>
          <w:tcPr>
            <w:tcW w:w="680" w:type="dxa"/>
            <w:tcBorders>
              <w:top w:val="single" w:sz="4" w:space="0" w:color="auto"/>
              <w:left w:val="single" w:sz="4" w:space="0" w:color="auto"/>
              <w:bottom w:val="single" w:sz="4" w:space="0" w:color="auto"/>
              <w:right w:val="single" w:sz="4" w:space="0" w:color="auto"/>
            </w:tcBorders>
            <w:vAlign w:val="center"/>
          </w:tcPr>
          <w:p>
            <w:pPr>
              <w:snapToGrid w:val="0"/>
              <w:spacing w:line="360" w:lineRule="auto"/>
              <w:contextualSpacing/>
              <w:jc w:val="center"/>
              <w:rPr>
                <w:rFonts w:ascii="宋体" w:hAnsi="宋体" w:cs="宋体" w:hint="eastAsia"/>
                <w:color w:val="000000"/>
                <w:szCs w:val="21"/>
              </w:rPr>
            </w:pPr>
            <w:r>
              <w:rPr>
                <w:rFonts w:ascii="宋体" w:hAnsi="宋体" w:cs="宋体" w:hint="eastAsia"/>
                <w:color w:val="000000"/>
                <w:szCs w:val="21"/>
              </w:rPr>
              <w:t>6</w:t>
            </w:r>
          </w:p>
        </w:tc>
        <w:tc>
          <w:tcPr>
            <w:tcW w:w="7920" w:type="dxa"/>
            <w:tcBorders>
              <w:top w:val="single" w:sz="4" w:space="0" w:color="auto"/>
              <w:left w:val="single" w:sz="4" w:space="0" w:color="auto"/>
              <w:bottom w:val="single" w:sz="4" w:space="0" w:color="auto"/>
              <w:right w:val="single" w:sz="4" w:space="0" w:color="auto"/>
            </w:tcBorders>
          </w:tcPr>
          <w:p>
            <w:pPr>
              <w:spacing w:line="360" w:lineRule="auto"/>
              <w:rPr>
                <w:rFonts w:ascii="宋体" w:hAnsi="宋体" w:cs="宋体" w:hint="eastAsia"/>
                <w:szCs w:val="21"/>
              </w:rPr>
            </w:pPr>
            <w:r>
              <w:rPr>
                <w:rFonts w:ascii="宋体" w:hAnsi="宋体" w:cs="宋体" w:hint="eastAsia"/>
                <w:szCs w:val="21"/>
              </w:rPr>
              <w:t>投标人的替代方案：不允许</w:t>
            </w:r>
          </w:p>
        </w:tc>
      </w:tr>
      <w:tr>
        <w:tblPrEx>
          <w:tblW w:w="8600" w:type="dxa"/>
          <w:tblInd w:w="18" w:type="dxa"/>
          <w:tblLayout w:type="fixed"/>
          <w:tblCellMar>
            <w:top w:w="0" w:type="dxa"/>
            <w:left w:w="108" w:type="dxa"/>
            <w:bottom w:w="0" w:type="dxa"/>
            <w:right w:w="108" w:type="dxa"/>
          </w:tblCellMar>
          <w:tblLook w:val="0000"/>
        </w:tblPrEx>
        <w:trPr>
          <w:trHeight w:val="339"/>
        </w:trPr>
        <w:tc>
          <w:tcPr>
            <w:tcW w:w="680" w:type="dxa"/>
            <w:tcBorders>
              <w:top w:val="single" w:sz="4" w:space="0" w:color="auto"/>
              <w:left w:val="single" w:sz="4" w:space="0" w:color="auto"/>
              <w:bottom w:val="single" w:sz="4" w:space="0" w:color="auto"/>
              <w:right w:val="single" w:sz="4" w:space="0" w:color="auto"/>
            </w:tcBorders>
            <w:vAlign w:val="center"/>
          </w:tcPr>
          <w:p>
            <w:pPr>
              <w:snapToGrid w:val="0"/>
              <w:spacing w:line="360" w:lineRule="auto"/>
              <w:contextualSpacing/>
              <w:jc w:val="center"/>
              <w:rPr>
                <w:rFonts w:ascii="宋体" w:hAnsi="宋体" w:cs="宋体" w:hint="eastAsia"/>
                <w:color w:val="000000"/>
                <w:szCs w:val="21"/>
              </w:rPr>
            </w:pPr>
            <w:r>
              <w:rPr>
                <w:rFonts w:ascii="宋体" w:hAnsi="宋体" w:cs="宋体" w:hint="eastAsia"/>
                <w:color w:val="000000"/>
                <w:szCs w:val="21"/>
              </w:rPr>
              <w:t>7</w:t>
            </w:r>
          </w:p>
        </w:tc>
        <w:tc>
          <w:tcPr>
            <w:tcW w:w="7920" w:type="dxa"/>
            <w:tcBorders>
              <w:top w:val="single" w:sz="4" w:space="0" w:color="auto"/>
              <w:left w:val="single" w:sz="4" w:space="0" w:color="auto"/>
              <w:bottom w:val="single" w:sz="4" w:space="0" w:color="auto"/>
              <w:right w:val="single" w:sz="4" w:space="0" w:color="auto"/>
            </w:tcBorders>
            <w:vAlign w:val="center"/>
          </w:tcPr>
          <w:p>
            <w:pPr>
              <w:autoSpaceDE w:val="0"/>
              <w:autoSpaceDN w:val="0"/>
              <w:adjustRightInd w:val="0"/>
              <w:spacing w:line="360" w:lineRule="auto"/>
              <w:jc w:val="left"/>
              <w:rPr>
                <w:rFonts w:ascii="宋体" w:hAnsi="宋体" w:cs="宋体" w:hint="eastAsia"/>
                <w:szCs w:val="21"/>
              </w:rPr>
            </w:pPr>
            <w:r>
              <w:rPr>
                <w:rFonts w:ascii="宋体" w:hAnsi="宋体" w:cs="宋体" w:hint="eastAsia"/>
                <w:bCs/>
                <w:kern w:val="0"/>
                <w:szCs w:val="21"/>
                <w:lang w:val="zh-CN"/>
              </w:rPr>
              <w:t>投标保证金：</w:t>
            </w:r>
            <w:r>
              <w:rPr>
                <w:rFonts w:ascii="宋体" w:hAnsi="宋体" w:cs="宋体" w:hint="eastAsia"/>
                <w:bCs/>
                <w:kern w:val="0"/>
                <w:szCs w:val="21"/>
              </w:rPr>
              <w:t>无需缴纳</w:t>
            </w:r>
          </w:p>
        </w:tc>
      </w:tr>
      <w:tr>
        <w:tblPrEx>
          <w:tblW w:w="8600" w:type="dxa"/>
          <w:tblInd w:w="18" w:type="dxa"/>
          <w:tblLayout w:type="fixed"/>
          <w:tblCellMar>
            <w:top w:w="0" w:type="dxa"/>
            <w:left w:w="108" w:type="dxa"/>
            <w:bottom w:w="0" w:type="dxa"/>
            <w:right w:w="108" w:type="dxa"/>
          </w:tblCellMar>
          <w:tblLook w:val="0000"/>
        </w:tblPrEx>
        <w:trPr>
          <w:trHeight w:val="339"/>
        </w:trPr>
        <w:tc>
          <w:tcPr>
            <w:tcW w:w="680" w:type="dxa"/>
            <w:tcBorders>
              <w:top w:val="single" w:sz="4" w:space="0" w:color="auto"/>
              <w:left w:val="single" w:sz="4" w:space="0" w:color="auto"/>
              <w:bottom w:val="single" w:sz="4" w:space="0" w:color="auto"/>
              <w:right w:val="single" w:sz="4" w:space="0" w:color="auto"/>
            </w:tcBorders>
            <w:vAlign w:val="center"/>
          </w:tcPr>
          <w:p>
            <w:pPr>
              <w:autoSpaceDE w:val="0"/>
              <w:autoSpaceDN w:val="0"/>
              <w:adjustRightInd w:val="0"/>
              <w:snapToGrid w:val="0"/>
              <w:spacing w:line="360" w:lineRule="auto"/>
              <w:jc w:val="center"/>
              <w:rPr>
                <w:rFonts w:ascii="宋体" w:hAnsi="宋体" w:cs="宋体" w:hint="eastAsia"/>
                <w:color w:val="000000"/>
                <w:szCs w:val="21"/>
              </w:rPr>
            </w:pPr>
            <w:r>
              <w:rPr>
                <w:rFonts w:ascii="宋体" w:hAnsi="宋体" w:cs="宋体" w:hint="eastAsia"/>
                <w:color w:val="000000"/>
                <w:szCs w:val="21"/>
              </w:rPr>
              <w:t>8</w:t>
            </w:r>
          </w:p>
        </w:tc>
        <w:tc>
          <w:tcPr>
            <w:tcW w:w="7920" w:type="dxa"/>
            <w:tcBorders>
              <w:top w:val="single" w:sz="4" w:space="0" w:color="auto"/>
              <w:left w:val="single" w:sz="4" w:space="0" w:color="auto"/>
              <w:bottom w:val="single" w:sz="4" w:space="0" w:color="auto"/>
              <w:right w:val="single" w:sz="4" w:space="0" w:color="auto"/>
            </w:tcBorders>
            <w:vAlign w:val="center"/>
          </w:tcPr>
          <w:p>
            <w:pPr>
              <w:autoSpaceDE w:val="0"/>
              <w:autoSpaceDN w:val="0"/>
              <w:adjustRightInd w:val="0"/>
              <w:spacing w:line="360" w:lineRule="auto"/>
              <w:jc w:val="left"/>
              <w:rPr>
                <w:rFonts w:ascii="宋体" w:hAnsi="宋体" w:cs="宋体" w:hint="eastAsia"/>
                <w:bCs/>
                <w:kern w:val="0"/>
                <w:szCs w:val="21"/>
              </w:rPr>
            </w:pPr>
            <w:r>
              <w:rPr>
                <w:rFonts w:ascii="宋体" w:hAnsi="宋体" w:cs="宋体" w:hint="eastAsia"/>
                <w:bCs/>
                <w:kern w:val="0"/>
                <w:szCs w:val="21"/>
                <w:highlight w:val="yellow"/>
              </w:rPr>
              <w:t>履约保证金（履约保函）：</w:t>
            </w:r>
            <w:r>
              <w:rPr>
                <w:rFonts w:ascii="Wingdings" w:hAnsi="Wingdings" w:cs="宋体" w:hint="eastAsia"/>
                <w:bCs/>
                <w:kern w:val="0"/>
                <w:szCs w:val="21"/>
                <w:highlight w:val="yellow"/>
              </w:rPr>
              <w:t>¨</w:t>
            </w:r>
            <w:r>
              <w:rPr>
                <w:rFonts w:ascii="宋体" w:hAnsi="宋体" w:cs="宋体" w:hint="eastAsia"/>
                <w:bCs/>
                <w:kern w:val="0"/>
                <w:szCs w:val="21"/>
                <w:highlight w:val="yellow"/>
              </w:rPr>
              <w:t xml:space="preserve">无      </w:t>
            </w:r>
            <w:r>
              <w:rPr>
                <w:rFonts w:ascii="Wingdings" w:hAnsi="Wingdings" w:cs="宋体" w:hint="eastAsia"/>
                <w:bCs/>
                <w:kern w:val="0"/>
                <w:szCs w:val="21"/>
                <w:highlight w:val="yellow"/>
              </w:rPr>
              <w:t>þ</w:t>
            </w:r>
            <w:r>
              <w:rPr>
                <w:rFonts w:ascii="宋体" w:hAnsi="宋体" w:cs="宋体" w:hint="eastAsia"/>
                <w:bCs/>
                <w:kern w:val="0"/>
                <w:szCs w:val="21"/>
                <w:highlight w:val="yellow"/>
              </w:rPr>
              <w:t>有：</w:t>
            </w:r>
            <w:r>
              <w:rPr>
                <w:rFonts w:ascii="宋体" w:hAnsi="宋体" w:cs="宋体" w:hint="eastAsia"/>
                <w:szCs w:val="21"/>
                <w:highlight w:val="yellow"/>
              </w:rPr>
              <w:t>合同金额的</w:t>
            </w:r>
            <w:r>
              <w:rPr>
                <w:rFonts w:ascii="宋体" w:hAnsi="宋体" w:cs="宋体" w:hint="eastAsia"/>
                <w:szCs w:val="21"/>
                <w:highlight w:val="yellow"/>
                <w:u w:val="single"/>
              </w:rPr>
              <w:t xml:space="preserve"> </w:t>
            </w:r>
            <w:r>
              <w:rPr>
                <w:rFonts w:ascii="宋体" w:hAnsi="宋体" w:cs="宋体"/>
                <w:szCs w:val="21"/>
                <w:highlight w:val="yellow"/>
                <w:u w:val="single"/>
              </w:rPr>
              <w:t>5</w:t>
            </w:r>
            <w:r>
              <w:rPr>
                <w:rFonts w:ascii="宋体" w:hAnsi="宋体" w:cs="宋体" w:hint="eastAsia"/>
                <w:szCs w:val="21"/>
                <w:highlight w:val="yellow"/>
                <w:u w:val="single"/>
              </w:rPr>
              <w:t xml:space="preserve"> </w:t>
            </w:r>
            <w:r>
              <w:rPr>
                <w:rFonts w:ascii="宋体" w:hAnsi="宋体" w:cs="宋体" w:hint="eastAsia"/>
                <w:szCs w:val="21"/>
                <w:highlight w:val="yellow"/>
              </w:rPr>
              <w:t>%</w:t>
            </w:r>
          </w:p>
        </w:tc>
      </w:tr>
      <w:tr>
        <w:tblPrEx>
          <w:tblW w:w="8600" w:type="dxa"/>
          <w:tblInd w:w="18" w:type="dxa"/>
          <w:tblLayout w:type="fixed"/>
          <w:tblCellMar>
            <w:top w:w="0" w:type="dxa"/>
            <w:left w:w="108" w:type="dxa"/>
            <w:bottom w:w="0" w:type="dxa"/>
            <w:right w:w="108" w:type="dxa"/>
          </w:tblCellMar>
          <w:tblLook w:val="0000"/>
        </w:tblPrEx>
        <w:trPr>
          <w:trHeight w:val="339"/>
        </w:trPr>
        <w:tc>
          <w:tcPr>
            <w:tcW w:w="680" w:type="dxa"/>
            <w:tcBorders>
              <w:top w:val="single" w:sz="4" w:space="0" w:color="auto"/>
              <w:left w:val="single" w:sz="4" w:space="0" w:color="auto"/>
              <w:bottom w:val="single" w:sz="4" w:space="0" w:color="auto"/>
              <w:right w:val="single" w:sz="4" w:space="0" w:color="auto"/>
            </w:tcBorders>
            <w:vAlign w:val="center"/>
          </w:tcPr>
          <w:p>
            <w:pPr>
              <w:autoSpaceDE w:val="0"/>
              <w:autoSpaceDN w:val="0"/>
              <w:adjustRightInd w:val="0"/>
              <w:snapToGrid w:val="0"/>
              <w:spacing w:line="360" w:lineRule="auto"/>
              <w:jc w:val="center"/>
              <w:rPr>
                <w:rFonts w:ascii="宋体" w:hAnsi="宋体" w:cs="宋体" w:hint="eastAsia"/>
                <w:color w:val="000000"/>
                <w:szCs w:val="21"/>
              </w:rPr>
            </w:pPr>
            <w:r>
              <w:rPr>
                <w:rFonts w:ascii="宋体" w:hAnsi="宋体" w:cs="宋体" w:hint="eastAsia"/>
                <w:color w:val="000000"/>
                <w:szCs w:val="21"/>
              </w:rPr>
              <w:t>9</w:t>
            </w:r>
          </w:p>
        </w:tc>
        <w:tc>
          <w:tcPr>
            <w:tcW w:w="7920" w:type="dxa"/>
            <w:tcBorders>
              <w:top w:val="single" w:sz="4" w:space="0" w:color="auto"/>
              <w:left w:val="single" w:sz="4" w:space="0" w:color="auto"/>
              <w:bottom w:val="single" w:sz="4" w:space="0" w:color="auto"/>
              <w:right w:val="single" w:sz="4" w:space="0" w:color="auto"/>
            </w:tcBorders>
            <w:vAlign w:val="center"/>
          </w:tcPr>
          <w:p>
            <w:pPr>
              <w:autoSpaceDE w:val="0"/>
              <w:autoSpaceDN w:val="0"/>
              <w:adjustRightInd w:val="0"/>
              <w:snapToGrid w:val="0"/>
              <w:spacing w:line="360" w:lineRule="auto"/>
              <w:jc w:val="left"/>
              <w:rPr>
                <w:rFonts w:ascii="宋体" w:hAnsi="宋体" w:cs="宋体" w:hint="eastAsia"/>
                <w:szCs w:val="21"/>
              </w:rPr>
            </w:pPr>
            <w:r>
              <w:rPr>
                <w:rFonts w:ascii="宋体" w:hAnsi="宋体" w:cs="宋体" w:hint="eastAsia"/>
                <w:szCs w:val="21"/>
              </w:rPr>
              <w:t>中标服务费：按通用条款第十二章费率标准执行，根据中标金额计算后的65折收取，如计算后中标服务费低于3000元的，按3000元收取。</w:t>
            </w:r>
          </w:p>
          <w:p>
            <w:pPr>
              <w:autoSpaceDE w:val="0"/>
              <w:autoSpaceDN w:val="0"/>
              <w:adjustRightInd w:val="0"/>
              <w:spacing w:line="360" w:lineRule="auto"/>
              <w:jc w:val="left"/>
              <w:rPr>
                <w:rFonts w:ascii="宋体" w:hAnsi="宋体" w:cs="宋体" w:hint="eastAsia"/>
                <w:bCs/>
                <w:kern w:val="0"/>
                <w:szCs w:val="21"/>
              </w:rPr>
            </w:pPr>
            <w:r>
              <w:rPr>
                <w:rFonts w:ascii="宋体" w:hAnsi="宋体" w:cs="宋体" w:hint="eastAsia"/>
                <w:szCs w:val="21"/>
              </w:rPr>
              <w:t>中标服务费由中标人在领取中标通知书前，以现金或转账形式一次性支付。</w:t>
            </w:r>
          </w:p>
        </w:tc>
      </w:tr>
      <w:tr>
        <w:tblPrEx>
          <w:tblW w:w="8600" w:type="dxa"/>
          <w:tblInd w:w="18" w:type="dxa"/>
          <w:tblLayout w:type="fixed"/>
          <w:tblCellMar>
            <w:top w:w="0" w:type="dxa"/>
            <w:left w:w="108" w:type="dxa"/>
            <w:bottom w:w="0" w:type="dxa"/>
            <w:right w:w="108" w:type="dxa"/>
          </w:tblCellMar>
          <w:tblLook w:val="0000"/>
        </w:tblPrEx>
        <w:trPr>
          <w:trHeight w:val="339"/>
        </w:trPr>
        <w:tc>
          <w:tcPr>
            <w:tcW w:w="680" w:type="dxa"/>
            <w:tcBorders>
              <w:top w:val="single" w:sz="4" w:space="0" w:color="auto"/>
              <w:left w:val="single" w:sz="4" w:space="0" w:color="auto"/>
              <w:bottom w:val="single" w:sz="4" w:space="0" w:color="auto"/>
              <w:right w:val="single" w:sz="4" w:space="0" w:color="auto"/>
            </w:tcBorders>
            <w:vAlign w:val="center"/>
          </w:tcPr>
          <w:p>
            <w:pPr>
              <w:autoSpaceDE w:val="0"/>
              <w:autoSpaceDN w:val="0"/>
              <w:adjustRightInd w:val="0"/>
              <w:snapToGrid w:val="0"/>
              <w:spacing w:line="360" w:lineRule="auto"/>
              <w:jc w:val="center"/>
              <w:rPr>
                <w:rFonts w:ascii="宋体" w:hAnsi="宋体" w:cs="宋体" w:hint="eastAsia"/>
                <w:color w:val="000000"/>
                <w:szCs w:val="21"/>
              </w:rPr>
            </w:pPr>
            <w:r>
              <w:rPr>
                <w:rFonts w:ascii="宋体" w:hAnsi="宋体" w:cs="宋体" w:hint="eastAsia"/>
                <w:color w:val="000000"/>
                <w:szCs w:val="21"/>
              </w:rPr>
              <w:t>10</w:t>
            </w:r>
          </w:p>
        </w:tc>
        <w:tc>
          <w:tcPr>
            <w:tcW w:w="7920" w:type="dxa"/>
            <w:tcBorders>
              <w:top w:val="single" w:sz="4" w:space="0" w:color="auto"/>
              <w:left w:val="single" w:sz="4" w:space="0" w:color="auto"/>
              <w:bottom w:val="single" w:sz="4" w:space="0" w:color="auto"/>
              <w:right w:val="single" w:sz="4" w:space="0" w:color="auto"/>
            </w:tcBorders>
            <w:vAlign w:val="center"/>
          </w:tcPr>
          <w:p>
            <w:pPr>
              <w:autoSpaceDE w:val="0"/>
              <w:autoSpaceDN w:val="0"/>
              <w:adjustRightInd w:val="0"/>
              <w:spacing w:line="360" w:lineRule="auto"/>
              <w:jc w:val="left"/>
              <w:rPr>
                <w:rFonts w:ascii="宋体" w:hAnsi="宋体" w:cs="宋体" w:hint="eastAsia"/>
                <w:szCs w:val="21"/>
              </w:rPr>
            </w:pPr>
            <w:r>
              <w:rPr>
                <w:rFonts w:ascii="宋体" w:hAnsi="宋体" w:cs="宋体" w:hint="eastAsia"/>
                <w:szCs w:val="21"/>
              </w:rPr>
              <w:t>项目背景：为进一步深化产教融合,建立全球领先的生物医药生产实训基地，建成深圳乃至粤港澳大湾区生物医药高端技术技能人才的培养培训基地，中试服务和产品工程转化的技术转移中心，新药研发以及产品试制中心，为生物医药、生命健康等产业集聚发展提供强有力的技术支撑和人才支撑。</w:t>
            </w:r>
          </w:p>
        </w:tc>
      </w:tr>
    </w:tbl>
    <w:p>
      <w:pPr>
        <w:rPr>
          <w:rFonts w:ascii="宋体" w:hAnsi="宋体" w:cs="宋体" w:hint="eastAsia"/>
          <w:szCs w:val="21"/>
        </w:rPr>
      </w:pPr>
      <w:r>
        <w:rPr>
          <w:rFonts w:ascii="宋体" w:hAnsi="宋体" w:cs="宋体" w:hint="eastAsia"/>
          <w:szCs w:val="21"/>
        </w:rPr>
        <w:t>备注：本表为通用条款相关内容的补充和明确，如与通用条款相冲突的以本表为准。</w:t>
      </w:r>
    </w:p>
    <w:p>
      <w:pPr>
        <w:rPr>
          <w:rFonts w:hint="eastAsia"/>
        </w:rPr>
      </w:pPr>
    </w:p>
    <w:p>
      <w:pPr>
        <w:rPr>
          <w:rFonts w:hint="eastAsia"/>
        </w:rPr>
      </w:pPr>
    </w:p>
    <w:p>
      <w:pPr>
        <w:rPr>
          <w:rFonts w:hint="eastAsia"/>
        </w:rPr>
      </w:pPr>
    </w:p>
    <w:p>
      <w:pPr>
        <w:rPr>
          <w:rFonts w:hint="eastAsia"/>
        </w:rPr>
      </w:pPr>
    </w:p>
    <w:p>
      <w:pPr>
        <w:rPr>
          <w:rFonts w:hint="eastAsia"/>
        </w:rPr>
      </w:pPr>
    </w:p>
    <w:p>
      <w:pPr>
        <w:spacing w:line="360" w:lineRule="auto"/>
        <w:outlineLvl w:val="2"/>
        <w:rPr>
          <w:rFonts w:ascii="宋体" w:hAnsi="宋体" w:cs="宋体" w:hint="eastAsia"/>
          <w:b/>
          <w:bCs/>
          <w:szCs w:val="21"/>
        </w:rPr>
      </w:pPr>
      <w:r>
        <w:rPr>
          <w:rFonts w:ascii="宋体" w:hAnsi="宋体" w:cs="宋体" w:hint="eastAsia"/>
          <w:b/>
          <w:bCs/>
          <w:szCs w:val="21"/>
        </w:rPr>
        <w:t>二、货物清单</w:t>
      </w:r>
    </w:p>
    <w:tbl>
      <w:tblPr>
        <w:tblStyle w:val="TableNormal"/>
        <w:tblW w:w="4998"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Look w:val="0000"/>
      </w:tblPr>
      <w:tblGrid>
        <w:gridCol w:w="826"/>
        <w:gridCol w:w="2349"/>
        <w:gridCol w:w="1089"/>
        <w:gridCol w:w="1261"/>
        <w:gridCol w:w="961"/>
        <w:gridCol w:w="788"/>
        <w:gridCol w:w="1252"/>
      </w:tblGrid>
      <w:tr>
        <w:tblPrEx>
          <w:tblW w:w="4998"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Look w:val="0000"/>
        </w:tblPrEx>
        <w:trPr>
          <w:trHeight w:val="636"/>
          <w:jc w:val="center"/>
        </w:trPr>
        <w:tc>
          <w:tcPr>
            <w:tcW w:w="484" w:type="pct"/>
          </w:tcPr>
          <w:p>
            <w:pPr>
              <w:jc w:val="center"/>
              <w:rPr>
                <w:rFonts w:ascii="宋体" w:hAnsi="宋体" w:cs="宋体" w:hint="eastAsia"/>
                <w:b/>
                <w:bCs/>
                <w:szCs w:val="21"/>
              </w:rPr>
            </w:pPr>
            <w:r>
              <w:rPr>
                <w:rFonts w:ascii="宋体" w:hAnsi="宋体" w:cs="宋体" w:hint="eastAsia"/>
                <w:b/>
                <w:bCs/>
                <w:szCs w:val="21"/>
              </w:rPr>
              <w:t>序号</w:t>
            </w:r>
          </w:p>
        </w:tc>
        <w:tc>
          <w:tcPr>
            <w:tcW w:w="1377" w:type="pct"/>
          </w:tcPr>
          <w:p>
            <w:pPr>
              <w:jc w:val="center"/>
              <w:rPr>
                <w:rFonts w:ascii="宋体" w:hAnsi="宋体" w:cs="宋体" w:hint="eastAsia"/>
                <w:b/>
                <w:bCs/>
                <w:szCs w:val="21"/>
              </w:rPr>
            </w:pPr>
            <w:r>
              <w:rPr>
                <w:rFonts w:ascii="宋体" w:hAnsi="宋体" w:cs="宋体" w:hint="eastAsia"/>
                <w:b/>
                <w:bCs/>
                <w:szCs w:val="21"/>
              </w:rPr>
              <w:t>货物名称</w:t>
            </w:r>
          </w:p>
        </w:tc>
        <w:tc>
          <w:tcPr>
            <w:tcW w:w="638" w:type="pct"/>
          </w:tcPr>
          <w:p>
            <w:pPr>
              <w:jc w:val="center"/>
              <w:rPr>
                <w:rFonts w:ascii="宋体" w:hAnsi="宋体" w:cs="宋体" w:hint="eastAsia"/>
                <w:b/>
                <w:bCs/>
                <w:szCs w:val="21"/>
              </w:rPr>
            </w:pPr>
            <w:r>
              <w:rPr>
                <w:rFonts w:ascii="宋体" w:hAnsi="宋体" w:cs="宋体" w:hint="eastAsia"/>
                <w:b/>
                <w:bCs/>
                <w:szCs w:val="21"/>
              </w:rPr>
              <w:t>是否接受进口</w:t>
            </w:r>
          </w:p>
        </w:tc>
        <w:tc>
          <w:tcPr>
            <w:tcW w:w="739" w:type="pct"/>
          </w:tcPr>
          <w:p>
            <w:pPr>
              <w:jc w:val="center"/>
              <w:rPr>
                <w:rFonts w:ascii="宋体" w:hAnsi="宋体" w:cs="宋体" w:hint="eastAsia"/>
                <w:b/>
                <w:bCs/>
                <w:szCs w:val="21"/>
              </w:rPr>
            </w:pPr>
            <w:r>
              <w:rPr>
                <w:rFonts w:ascii="宋体" w:hAnsi="宋体" w:cs="宋体" w:hint="eastAsia"/>
                <w:b/>
                <w:bCs/>
                <w:szCs w:val="21"/>
              </w:rPr>
              <w:t>是否免税</w:t>
            </w:r>
          </w:p>
        </w:tc>
        <w:tc>
          <w:tcPr>
            <w:tcW w:w="563" w:type="pct"/>
          </w:tcPr>
          <w:p>
            <w:pPr>
              <w:jc w:val="center"/>
              <w:rPr>
                <w:rFonts w:ascii="宋体" w:hAnsi="宋体" w:cs="宋体" w:hint="eastAsia"/>
                <w:b/>
                <w:bCs/>
                <w:szCs w:val="21"/>
              </w:rPr>
            </w:pPr>
            <w:r>
              <w:rPr>
                <w:rFonts w:ascii="宋体" w:hAnsi="宋体" w:cs="宋体" w:hint="eastAsia"/>
                <w:b/>
                <w:bCs/>
                <w:szCs w:val="21"/>
              </w:rPr>
              <w:t>数量</w:t>
            </w:r>
          </w:p>
        </w:tc>
        <w:tc>
          <w:tcPr>
            <w:tcW w:w="462" w:type="pct"/>
          </w:tcPr>
          <w:p>
            <w:pPr>
              <w:jc w:val="center"/>
              <w:rPr>
                <w:rFonts w:ascii="宋体" w:hAnsi="宋体" w:cs="宋体" w:hint="eastAsia"/>
                <w:b/>
                <w:bCs/>
                <w:szCs w:val="21"/>
              </w:rPr>
            </w:pPr>
            <w:r>
              <w:rPr>
                <w:rFonts w:ascii="宋体" w:hAnsi="宋体" w:cs="宋体" w:hint="eastAsia"/>
                <w:b/>
                <w:bCs/>
                <w:szCs w:val="21"/>
              </w:rPr>
              <w:t>单位</w:t>
            </w:r>
          </w:p>
        </w:tc>
        <w:tc>
          <w:tcPr>
            <w:tcW w:w="734" w:type="pct"/>
          </w:tcPr>
          <w:p>
            <w:pPr>
              <w:jc w:val="center"/>
              <w:rPr>
                <w:rFonts w:ascii="宋体" w:hAnsi="宋体" w:cs="宋体" w:hint="eastAsia"/>
                <w:b/>
                <w:bCs/>
                <w:szCs w:val="21"/>
              </w:rPr>
            </w:pPr>
            <w:r>
              <w:rPr>
                <w:rFonts w:ascii="宋体" w:hAnsi="宋体" w:cs="宋体" w:hint="eastAsia"/>
                <w:b/>
                <w:bCs/>
                <w:szCs w:val="21"/>
              </w:rPr>
              <w:t>备注</w:t>
            </w:r>
          </w:p>
        </w:tc>
      </w:tr>
      <w:tr>
        <w:tblPrEx>
          <w:tblW w:w="4998" w:type="pct"/>
          <w:jc w:val="center"/>
          <w:tblCellMar>
            <w:top w:w="0" w:type="dxa"/>
            <w:left w:w="108" w:type="dxa"/>
            <w:bottom w:w="0" w:type="dxa"/>
            <w:right w:w="108" w:type="dxa"/>
          </w:tblCellMar>
          <w:tblLook w:val="0000"/>
        </w:tblPrEx>
        <w:trPr>
          <w:trHeight w:val="326"/>
          <w:jc w:val="center"/>
        </w:trPr>
        <w:tc>
          <w:tcPr>
            <w:tcW w:w="484" w:type="pct"/>
          </w:tcPr>
          <w:p>
            <w:pPr>
              <w:jc w:val="center"/>
              <w:rPr>
                <w:rFonts w:ascii="宋体" w:hAnsi="宋体" w:cs="宋体" w:hint="eastAsia"/>
                <w:bCs/>
                <w:szCs w:val="21"/>
              </w:rPr>
            </w:pPr>
            <w:r>
              <w:rPr>
                <w:rFonts w:ascii="宋体" w:hAnsi="宋体" w:cs="宋体" w:hint="eastAsia"/>
                <w:bCs/>
                <w:szCs w:val="21"/>
              </w:rPr>
              <w:t>1</w:t>
            </w:r>
          </w:p>
        </w:tc>
        <w:tc>
          <w:tcPr>
            <w:tcW w:w="1377" w:type="pct"/>
          </w:tcPr>
          <w:p>
            <w:pPr>
              <w:jc w:val="center"/>
              <w:rPr>
                <w:rFonts w:ascii="宋体" w:hAnsi="宋体" w:cs="宋体" w:hint="eastAsia"/>
                <w:bCs/>
                <w:szCs w:val="21"/>
              </w:rPr>
            </w:pPr>
            <w:r>
              <w:rPr>
                <w:rFonts w:ascii="宋体" w:hAnsi="宋体" w:cs="宋体" w:hint="eastAsia"/>
                <w:szCs w:val="21"/>
              </w:rPr>
              <w:t>原子吸收分光光度计</w:t>
            </w:r>
          </w:p>
        </w:tc>
        <w:tc>
          <w:tcPr>
            <w:tcW w:w="638" w:type="pct"/>
          </w:tcPr>
          <w:p>
            <w:pPr>
              <w:jc w:val="center"/>
              <w:rPr>
                <w:rFonts w:ascii="宋体" w:hAnsi="宋体" w:cs="宋体" w:hint="eastAsia"/>
                <w:bCs/>
                <w:szCs w:val="21"/>
              </w:rPr>
            </w:pPr>
            <w:r>
              <w:rPr>
                <w:rFonts w:ascii="宋体" w:hAnsi="宋体" w:cs="宋体" w:hint="eastAsia"/>
                <w:bCs/>
                <w:szCs w:val="21"/>
              </w:rPr>
              <w:t>是</w:t>
            </w:r>
          </w:p>
        </w:tc>
        <w:tc>
          <w:tcPr>
            <w:tcW w:w="739" w:type="pct"/>
          </w:tcPr>
          <w:p>
            <w:pPr>
              <w:jc w:val="center"/>
              <w:rPr>
                <w:rFonts w:ascii="宋体" w:hAnsi="宋体" w:cs="宋体" w:hint="eastAsia"/>
                <w:bCs/>
                <w:szCs w:val="21"/>
              </w:rPr>
            </w:pPr>
            <w:r>
              <w:rPr>
                <w:rFonts w:ascii="宋体" w:hAnsi="宋体" w:cs="宋体" w:hint="eastAsia"/>
                <w:bCs/>
                <w:szCs w:val="21"/>
              </w:rPr>
              <w:t>是</w:t>
            </w:r>
          </w:p>
        </w:tc>
        <w:tc>
          <w:tcPr>
            <w:tcW w:w="563" w:type="pct"/>
          </w:tcPr>
          <w:p>
            <w:pPr>
              <w:jc w:val="center"/>
              <w:rPr>
                <w:rFonts w:ascii="宋体" w:hAnsi="宋体" w:cs="宋体" w:hint="eastAsia"/>
                <w:bCs/>
                <w:szCs w:val="21"/>
              </w:rPr>
            </w:pPr>
            <w:r>
              <w:rPr>
                <w:rFonts w:ascii="宋体" w:hAnsi="宋体" w:cs="宋体" w:hint="eastAsia"/>
                <w:bCs/>
                <w:szCs w:val="21"/>
              </w:rPr>
              <w:t>7</w:t>
            </w:r>
          </w:p>
        </w:tc>
        <w:tc>
          <w:tcPr>
            <w:tcW w:w="462" w:type="pct"/>
          </w:tcPr>
          <w:p>
            <w:pPr>
              <w:jc w:val="center"/>
              <w:rPr>
                <w:rFonts w:ascii="宋体" w:hAnsi="宋体" w:cs="宋体" w:hint="eastAsia"/>
                <w:bCs/>
                <w:szCs w:val="21"/>
              </w:rPr>
            </w:pPr>
            <w:r>
              <w:rPr>
                <w:rFonts w:ascii="宋体" w:hAnsi="宋体" w:cs="宋体" w:hint="eastAsia"/>
                <w:bCs/>
                <w:szCs w:val="21"/>
              </w:rPr>
              <w:t>台</w:t>
            </w:r>
          </w:p>
        </w:tc>
        <w:tc>
          <w:tcPr>
            <w:tcW w:w="734" w:type="pct"/>
          </w:tcPr>
          <w:p>
            <w:pPr>
              <w:jc w:val="center"/>
              <w:rPr>
                <w:rFonts w:ascii="宋体" w:hAnsi="宋体" w:cs="宋体"/>
                <w:bCs/>
                <w:szCs w:val="21"/>
              </w:rPr>
            </w:pPr>
            <w:r>
              <w:rPr>
                <w:rFonts w:ascii="宋体" w:hAnsi="宋体" w:cs="宋体" w:hint="eastAsia"/>
                <w:bCs/>
                <w:szCs w:val="21"/>
              </w:rPr>
              <w:t>接受进口</w:t>
            </w:r>
          </w:p>
        </w:tc>
      </w:tr>
    </w:tbl>
    <w:p>
      <w:pPr>
        <w:pStyle w:val="BodyText"/>
        <w:rPr>
          <w:rFonts w:ascii="宋体" w:hAnsi="宋体" w:cs="宋体" w:hint="eastAsia"/>
        </w:rPr>
      </w:pPr>
    </w:p>
    <w:p>
      <w:pPr>
        <w:pStyle w:val="BodyText"/>
        <w:rPr>
          <w:rFonts w:ascii="宋体" w:hAnsi="宋体" w:cs="宋体" w:hint="eastAsia"/>
          <w:b w:val="0"/>
          <w:bCs w:val="0"/>
          <w:color w:val="000000"/>
          <w:kern w:val="0"/>
          <w:sz w:val="21"/>
          <w:szCs w:val="21"/>
        </w:rPr>
      </w:pPr>
      <w:r>
        <w:rPr>
          <w:rFonts w:ascii="宋体" w:hAnsi="宋体" w:cs="宋体" w:hint="eastAsia"/>
          <w:b w:val="0"/>
          <w:bCs w:val="0"/>
          <w:color w:val="000000"/>
          <w:kern w:val="0"/>
          <w:sz w:val="21"/>
          <w:szCs w:val="21"/>
        </w:rPr>
        <w:t>采购标的对应的中小企业划分标准所属行业：其他未列明行业</w:t>
      </w:r>
    </w:p>
    <w:p>
      <w:pPr>
        <w:rPr>
          <w:rFonts w:ascii="宋体" w:hAnsi="宋体" w:cs="宋体" w:hint="eastAsia"/>
        </w:rPr>
      </w:pPr>
    </w:p>
    <w:p>
      <w:pPr>
        <w:rPr>
          <w:rFonts w:ascii="宋体" w:hAnsi="宋体" w:cs="宋体" w:hint="eastAsia"/>
          <w:b/>
          <w:color w:val="000000"/>
          <w:szCs w:val="21"/>
        </w:rPr>
      </w:pPr>
      <w:r>
        <w:rPr>
          <w:rFonts w:ascii="宋体" w:hAnsi="宋体" w:cs="宋体" w:hint="eastAsia"/>
          <w:b/>
          <w:color w:val="000000"/>
          <w:szCs w:val="21"/>
        </w:rPr>
        <w:t>说明：</w:t>
      </w:r>
    </w:p>
    <w:p>
      <w:pPr>
        <w:rPr>
          <w:rFonts w:ascii="宋体" w:hAnsi="宋体" w:cs="宋体" w:hint="eastAsia"/>
          <w:b/>
          <w:color w:val="000000"/>
          <w:szCs w:val="21"/>
        </w:rPr>
      </w:pPr>
    </w:p>
    <w:p>
      <w:pPr>
        <w:numPr>
          <w:ilvl w:val="0"/>
          <w:numId w:val="4"/>
        </w:numPr>
        <w:tabs>
          <w:tab w:val="left" w:pos="312"/>
        </w:tabs>
        <w:rPr>
          <w:rFonts w:ascii="宋体" w:hAnsi="宋体" w:cs="宋体" w:hint="eastAsia"/>
          <w:b/>
          <w:color w:val="000000"/>
          <w:szCs w:val="21"/>
        </w:rPr>
      </w:pPr>
      <w:r>
        <w:rPr>
          <w:rFonts w:ascii="宋体" w:hAnsi="宋体" w:cs="宋体" w:hint="eastAsia"/>
          <w:b/>
          <w:color w:val="000000"/>
          <w:szCs w:val="21"/>
        </w:rPr>
        <w:t>注明“拒绝进口”的产品不接受投标人选用进口产品参与投标；</w:t>
      </w:r>
    </w:p>
    <w:p>
      <w:pPr>
        <w:numPr>
          <w:ilvl w:val="0"/>
          <w:numId w:val="4"/>
        </w:numPr>
        <w:tabs>
          <w:tab w:val="left" w:pos="312"/>
        </w:tabs>
        <w:rPr>
          <w:rFonts w:ascii="宋体" w:hAnsi="宋体" w:cs="宋体" w:hint="eastAsia"/>
          <w:b/>
          <w:color w:val="000000"/>
          <w:szCs w:val="21"/>
        </w:rPr>
      </w:pPr>
      <w:r>
        <w:rPr>
          <w:rFonts w:ascii="宋体" w:hAnsi="宋体" w:cs="宋体" w:hint="eastAsia"/>
          <w:b/>
          <w:color w:val="000000"/>
          <w:szCs w:val="21"/>
        </w:rPr>
        <w:t>注明“接受进口”的产品允许投标人选用进口产品参与投标，但不排斥国内产品。</w:t>
      </w:r>
    </w:p>
    <w:p>
      <w:pPr>
        <w:numPr>
          <w:ilvl w:val="0"/>
          <w:numId w:val="4"/>
        </w:numPr>
        <w:tabs>
          <w:tab w:val="left" w:pos="312"/>
        </w:tabs>
        <w:rPr>
          <w:rFonts w:ascii="宋体" w:hAnsi="宋体" w:cs="宋体" w:hint="eastAsia"/>
          <w:b/>
          <w:color w:val="000000"/>
          <w:szCs w:val="21"/>
        </w:rPr>
      </w:pPr>
      <w:r>
        <w:rPr>
          <w:rFonts w:ascii="宋体" w:hAnsi="宋体" w:cs="宋体" w:hint="eastAsia"/>
          <w:b/>
          <w:color w:val="000000"/>
          <w:szCs w:val="21"/>
        </w:rPr>
        <w:t>进口产品是指通过海关验放进入中国境内且产自关境外的产品。即所谓进口产品是指制造过程均在国外，如果产品在国内组装，其中的零部件（包括核心部件）是进口产品，则应当视为非进口产品。采用“接受进口”的产品优先采购向我国企业转让技术、与我国企业签订消化吸收再创新方案的供应商的进口产品，相关内容以财库〔2007〕119 号文和财办库〔2008〕248 号文的相关规定为准。</w:t>
      </w:r>
      <w:bookmarkStart w:id="28" w:name="_Hlk20153589"/>
    </w:p>
    <w:p>
      <w:pPr>
        <w:pStyle w:val="BodyText"/>
        <w:rPr>
          <w:rFonts w:ascii="宋体" w:hAnsi="宋体" w:cs="宋体" w:hint="eastAsia"/>
          <w:sz w:val="21"/>
          <w:szCs w:val="21"/>
        </w:rPr>
      </w:pPr>
    </w:p>
    <w:p>
      <w:pPr>
        <w:rPr>
          <w:rFonts w:hint="eastAsia"/>
        </w:rPr>
      </w:pPr>
    </w:p>
    <w:p>
      <w:pPr>
        <w:spacing w:line="360" w:lineRule="auto"/>
        <w:outlineLvl w:val="2"/>
        <w:rPr>
          <w:rFonts w:ascii="宋体" w:hAnsi="宋体" w:cs="宋体" w:hint="eastAsia"/>
          <w:b/>
          <w:bCs/>
          <w:color w:val="000000"/>
          <w:szCs w:val="21"/>
        </w:rPr>
      </w:pPr>
      <w:r>
        <w:rPr>
          <w:rFonts w:ascii="宋体" w:hAnsi="宋体" w:cs="宋体" w:hint="eastAsia"/>
          <w:b/>
          <w:bCs/>
          <w:color w:val="000000"/>
          <w:szCs w:val="21"/>
        </w:rPr>
        <w:br w:type="page"/>
      </w:r>
      <w:r>
        <w:rPr>
          <w:rFonts w:ascii="宋体" w:hAnsi="宋体" w:cs="宋体" w:hint="eastAsia"/>
          <w:b/>
          <w:bCs/>
          <w:szCs w:val="21"/>
        </w:rPr>
        <w:t>三、具体技术要求</w:t>
      </w:r>
    </w:p>
    <w:p>
      <w:pPr>
        <w:rPr>
          <w:b/>
          <w:color w:val="000000"/>
          <w:szCs w:val="21"/>
        </w:rPr>
      </w:pPr>
      <w:r>
        <w:rPr>
          <w:rFonts w:hint="eastAsia"/>
          <w:b/>
          <w:color w:val="000000"/>
          <w:szCs w:val="21"/>
        </w:rPr>
        <w:t>说明：投标人须如实填写《技术规格偏离表》，并按招标文件的要求提供相关证明资料，包括产品原厂说明书或产品彩页等。提供的证明资料与投标响应情况不相符的，视为负偏离。</w:t>
      </w:r>
    </w:p>
    <w:p>
      <w:pPr>
        <w:ind w:firstLine="480" w:firstLineChars="200"/>
        <w:rPr>
          <w:b/>
          <w:szCs w:val="21"/>
        </w:rPr>
      </w:pPr>
      <w:r>
        <w:rPr>
          <w:rFonts w:hint="eastAsia"/>
          <w:b/>
          <w:szCs w:val="21"/>
        </w:rPr>
        <w:t>1、带“</w:t>
      </w:r>
      <w:r>
        <w:rPr>
          <w:rFonts w:ascii="宋体" w:hAnsi="宋体" w:cs="宋体" w:hint="eastAsia"/>
          <w:b/>
          <w:szCs w:val="21"/>
        </w:rPr>
        <w:t>★</w:t>
      </w:r>
      <w:r>
        <w:rPr>
          <w:rFonts w:hint="eastAsia"/>
          <w:b/>
          <w:szCs w:val="21"/>
        </w:rPr>
        <w:t>”指标项为实质性条款，如出现负偏离，将被视为未实质性满足招标文件要求作投标无效处理。带“</w:t>
      </w:r>
      <w:r>
        <w:t>▲</w:t>
      </w:r>
      <w:r>
        <w:rPr>
          <w:rFonts w:hint="eastAsia"/>
          <w:b/>
          <w:szCs w:val="21"/>
        </w:rPr>
        <w:t xml:space="preserve">”指标项为重要参数，负偏离时依相关评分准则内容作重点扣分处理。 </w:t>
      </w:r>
    </w:p>
    <w:p>
      <w:pPr>
        <w:ind w:firstLine="480" w:firstLineChars="200"/>
        <w:rPr>
          <w:b/>
          <w:szCs w:val="21"/>
        </w:rPr>
      </w:pPr>
      <w:r>
        <w:rPr>
          <w:rFonts w:hint="eastAsia"/>
          <w:b/>
          <w:szCs w:val="21"/>
        </w:rPr>
        <w:t>2、在招标技术要求中，用</w:t>
      </w:r>
      <w:r>
        <w:rPr>
          <w:rFonts w:hint="eastAsia"/>
          <w:b/>
          <w:color w:val="FF0000"/>
          <w:szCs w:val="21"/>
        </w:rPr>
        <w:t>红色加粗字体</w:t>
      </w:r>
      <w:r>
        <w:rPr>
          <w:rFonts w:hint="eastAsia"/>
          <w:b/>
          <w:szCs w:val="21"/>
        </w:rPr>
        <w:t>标注的技术条款为要求提供证明资料的条款，其余为未要求提供证明资料的条款，无需提供相关证明资料。</w:t>
      </w:r>
    </w:p>
    <w:p>
      <w:pPr>
        <w:ind w:firstLine="480" w:firstLineChars="200"/>
        <w:rPr>
          <w:b/>
        </w:rPr>
      </w:pPr>
      <w:r>
        <w:rPr>
          <w:rFonts w:hint="eastAsia"/>
          <w:b/>
        </w:rPr>
        <w:t>3、评分时，如对一项招标技术要求（以划分框为准）中的内容存在两处（或以上）负偏离的，在评分时只作一项负偏离扣分。</w:t>
      </w:r>
    </w:p>
    <w:p>
      <w:pPr>
        <w:ind w:firstLine="480" w:firstLineChars="200"/>
        <w:rPr>
          <w:rFonts w:ascii="宋体" w:hAnsi="宋体" w:hint="eastAsia"/>
          <w:b/>
          <w:szCs w:val="21"/>
        </w:rPr>
      </w:pPr>
      <w:r>
        <w:rPr>
          <w:rFonts w:hint="eastAsia"/>
          <w:b/>
        </w:rPr>
        <w:t>4、</w:t>
      </w:r>
      <w:r>
        <w:rPr>
          <w:b/>
          <w:color w:val="FF0000"/>
        </w:rPr>
        <w:t>涉及区间的参数，除特别注明以外，</w:t>
      </w:r>
      <w:bookmarkStart w:id="29" w:name="_Hlk75447406"/>
      <w:r>
        <w:rPr>
          <w:b/>
          <w:color w:val="FF0000"/>
        </w:rPr>
        <w:t>产品参数区间与招标要求不一致的均视为负偏离。</w:t>
      </w:r>
      <w:bookmarkEnd w:id="29"/>
      <w:r>
        <w:rPr>
          <w:rFonts w:hint="eastAsia"/>
          <w:b/>
          <w:color w:val="FF0000"/>
        </w:rPr>
        <w:t>例：区间要求为0-20ML,只要响应的不是“0-20ML”，如投标文件响应为 0-15ML 、0-21ML 、1-12ML 、 9-20ML 、6-21ML 、9ML等情形均视为负偏离。</w:t>
      </w:r>
    </w:p>
    <w:p>
      <w:pPr>
        <w:ind w:firstLine="480" w:firstLineChars="200"/>
        <w:rPr>
          <w:rFonts w:hint="eastAsia"/>
          <w:b/>
          <w:color w:val="000000"/>
          <w:szCs w:val="21"/>
        </w:rPr>
      </w:pPr>
    </w:p>
    <w:tbl>
      <w:tblPr>
        <w:tblStyle w:val="TableNorma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Look w:val="0000"/>
      </w:tblPr>
      <w:tblGrid>
        <w:gridCol w:w="848"/>
        <w:gridCol w:w="1143"/>
        <w:gridCol w:w="6538"/>
      </w:tblGrid>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Look w:val="0000"/>
        </w:tblPrEx>
        <w:trPr>
          <w:trHeight w:val="470"/>
        </w:trPr>
        <w:tc>
          <w:tcPr>
            <w:tcW w:w="497" w:type="pct"/>
            <w:vAlign w:val="center"/>
          </w:tcPr>
          <w:p>
            <w:pPr>
              <w:jc w:val="center"/>
              <w:rPr>
                <w:rFonts w:ascii="宋体" w:hAnsi="宋体" w:cs="宋体" w:hint="eastAsia"/>
                <w:szCs w:val="21"/>
              </w:rPr>
            </w:pPr>
            <w:bookmarkStart w:id="30" w:name="_Hlk70236148"/>
            <w:r>
              <w:rPr>
                <w:rFonts w:ascii="宋体" w:hAnsi="宋体" w:cs="宋体" w:hint="eastAsia"/>
                <w:szCs w:val="21"/>
              </w:rPr>
              <w:t>序号</w:t>
            </w:r>
          </w:p>
        </w:tc>
        <w:tc>
          <w:tcPr>
            <w:tcW w:w="670" w:type="pct"/>
            <w:vAlign w:val="center"/>
          </w:tcPr>
          <w:p>
            <w:pPr>
              <w:widowControl/>
              <w:jc w:val="center"/>
              <w:rPr>
                <w:rFonts w:ascii="宋体" w:hAnsi="宋体" w:cs="宋体" w:hint="eastAsia"/>
                <w:szCs w:val="21"/>
              </w:rPr>
            </w:pPr>
            <w:r>
              <w:rPr>
                <w:rFonts w:ascii="宋体" w:hAnsi="宋体" w:cs="宋体" w:hint="eastAsia"/>
                <w:szCs w:val="21"/>
              </w:rPr>
              <w:t>货物名称</w:t>
            </w:r>
          </w:p>
        </w:tc>
        <w:tc>
          <w:tcPr>
            <w:tcW w:w="3832" w:type="pct"/>
            <w:vAlign w:val="center"/>
          </w:tcPr>
          <w:p>
            <w:pPr>
              <w:jc w:val="center"/>
              <w:rPr>
                <w:rFonts w:ascii="宋体" w:hAnsi="宋体" w:cs="宋体" w:hint="eastAsia"/>
                <w:szCs w:val="21"/>
              </w:rPr>
            </w:pPr>
            <w:r>
              <w:rPr>
                <w:rFonts w:ascii="宋体" w:hAnsi="宋体" w:cs="宋体" w:hint="eastAsia"/>
                <w:szCs w:val="21"/>
              </w:rPr>
              <w:t>招标技术要求</w:t>
            </w:r>
          </w:p>
        </w:tc>
      </w:tr>
      <w:tr>
        <w:tblPrEx>
          <w:tblW w:w="5000" w:type="pct"/>
          <w:tblCellMar>
            <w:top w:w="0" w:type="dxa"/>
            <w:left w:w="108" w:type="dxa"/>
            <w:bottom w:w="0" w:type="dxa"/>
            <w:right w:w="108" w:type="dxa"/>
          </w:tblCellMar>
          <w:tblLook w:val="0000"/>
        </w:tblPrEx>
        <w:trPr>
          <w:trHeight w:val="170"/>
        </w:trPr>
        <w:tc>
          <w:tcPr>
            <w:tcW w:w="497" w:type="pct"/>
            <w:vMerge w:val="restart"/>
            <w:vAlign w:val="center"/>
          </w:tcPr>
          <w:p>
            <w:pPr>
              <w:jc w:val="center"/>
              <w:rPr>
                <w:rFonts w:ascii="宋体" w:hAnsi="宋体" w:cs="宋体" w:hint="eastAsia"/>
                <w:szCs w:val="21"/>
              </w:rPr>
            </w:pPr>
            <w:r>
              <w:rPr>
                <w:rFonts w:ascii="宋体" w:hAnsi="宋体" w:cs="宋体" w:hint="eastAsia"/>
                <w:szCs w:val="21"/>
              </w:rPr>
              <w:t>1</w:t>
            </w:r>
          </w:p>
        </w:tc>
        <w:tc>
          <w:tcPr>
            <w:tcW w:w="670" w:type="pct"/>
            <w:vMerge w:val="restart"/>
            <w:vAlign w:val="center"/>
          </w:tcPr>
          <w:p>
            <w:pPr>
              <w:jc w:val="center"/>
              <w:rPr>
                <w:rFonts w:ascii="宋体" w:hAnsi="宋体" w:cs="宋体" w:hint="eastAsia"/>
                <w:szCs w:val="21"/>
              </w:rPr>
            </w:pPr>
            <w:r>
              <w:rPr>
                <w:rFonts w:ascii="宋体" w:hAnsi="宋体" w:cs="宋体" w:hint="eastAsia"/>
                <w:szCs w:val="21"/>
              </w:rPr>
              <w:t>原子吸收分光光度计</w:t>
            </w:r>
          </w:p>
        </w:tc>
        <w:tc>
          <w:tcPr>
            <w:tcW w:w="3832" w:type="pct"/>
          </w:tcPr>
          <w:p>
            <w:pPr>
              <w:rPr>
                <w:rFonts w:ascii="宋体" w:hAnsi="宋体" w:cs="宋体" w:hint="eastAsia"/>
                <w:szCs w:val="21"/>
              </w:rPr>
            </w:pPr>
            <w:r>
              <w:rPr>
                <w:rFonts w:ascii="宋体" w:hAnsi="宋体" w:cs="宋体" w:hint="eastAsia"/>
                <w:szCs w:val="21"/>
              </w:rPr>
              <w:t>1.1工作条件</w:t>
            </w:r>
          </w:p>
        </w:tc>
      </w:tr>
      <w:tr>
        <w:tblPrEx>
          <w:tblW w:w="5000" w:type="pct"/>
          <w:tblCellMar>
            <w:top w:w="0" w:type="dxa"/>
            <w:left w:w="108" w:type="dxa"/>
            <w:bottom w:w="0" w:type="dxa"/>
            <w:right w:w="108" w:type="dxa"/>
          </w:tblCellMar>
          <w:tblLook w:val="0000"/>
        </w:tblPrEx>
        <w:trPr>
          <w:trHeight w:val="398"/>
        </w:trPr>
        <w:tc>
          <w:tcPr>
            <w:tcW w:w="497" w:type="pct"/>
            <w:vMerge/>
            <w:vAlign w:val="center"/>
          </w:tcPr>
          <w:p>
            <w:pPr>
              <w:jc w:val="center"/>
              <w:rPr>
                <w:rFonts w:ascii="宋体" w:hAnsi="宋体" w:cs="宋体" w:hint="eastAsia"/>
                <w:szCs w:val="21"/>
              </w:rPr>
            </w:pPr>
          </w:p>
        </w:tc>
        <w:tc>
          <w:tcPr>
            <w:tcW w:w="670" w:type="pct"/>
            <w:vMerge/>
            <w:vAlign w:val="center"/>
          </w:tcPr>
          <w:p>
            <w:pPr>
              <w:jc w:val="center"/>
              <w:rPr>
                <w:rFonts w:ascii="宋体" w:hAnsi="宋体" w:cs="宋体" w:hint="eastAsia"/>
                <w:szCs w:val="21"/>
              </w:rPr>
            </w:pPr>
          </w:p>
        </w:tc>
        <w:tc>
          <w:tcPr>
            <w:tcW w:w="3832" w:type="pct"/>
          </w:tcPr>
          <w:p>
            <w:pPr>
              <w:pStyle w:val="Title"/>
              <w:spacing w:line="360" w:lineRule="auto"/>
              <w:jc w:val="both"/>
              <w:rPr>
                <w:rFonts w:ascii="宋体" w:eastAsia="宋体" w:hAnsi="宋体" w:cs="宋体" w:hint="eastAsia"/>
                <w:sz w:val="21"/>
                <w:szCs w:val="21"/>
              </w:rPr>
            </w:pPr>
            <w:r>
              <w:rPr>
                <w:rFonts w:ascii="宋体" w:eastAsia="宋体" w:hAnsi="宋体" w:cs="宋体" w:hint="eastAsia"/>
                <w:sz w:val="21"/>
                <w:szCs w:val="21"/>
              </w:rPr>
              <w:t>1.1.1环境温度： 0 - 40℃</w:t>
            </w:r>
          </w:p>
        </w:tc>
      </w:tr>
      <w:tr>
        <w:tblPrEx>
          <w:tblW w:w="5000" w:type="pct"/>
          <w:tblCellMar>
            <w:top w:w="0" w:type="dxa"/>
            <w:left w:w="108" w:type="dxa"/>
            <w:bottom w:w="0" w:type="dxa"/>
            <w:right w:w="108" w:type="dxa"/>
          </w:tblCellMar>
          <w:tblLook w:val="0000"/>
        </w:tblPrEx>
        <w:trPr>
          <w:trHeight w:val="170"/>
        </w:trPr>
        <w:tc>
          <w:tcPr>
            <w:tcW w:w="497" w:type="pct"/>
            <w:vMerge/>
            <w:vAlign w:val="center"/>
          </w:tcPr>
          <w:p>
            <w:pPr>
              <w:jc w:val="center"/>
              <w:rPr>
                <w:rFonts w:ascii="宋体" w:hAnsi="宋体" w:cs="宋体" w:hint="eastAsia"/>
                <w:szCs w:val="21"/>
              </w:rPr>
            </w:pPr>
          </w:p>
        </w:tc>
        <w:tc>
          <w:tcPr>
            <w:tcW w:w="670" w:type="pct"/>
            <w:vMerge/>
            <w:vAlign w:val="center"/>
          </w:tcPr>
          <w:p>
            <w:pPr>
              <w:jc w:val="center"/>
              <w:rPr>
                <w:rFonts w:ascii="宋体" w:hAnsi="宋体" w:cs="宋体" w:hint="eastAsia"/>
                <w:szCs w:val="21"/>
              </w:rPr>
            </w:pPr>
          </w:p>
        </w:tc>
        <w:tc>
          <w:tcPr>
            <w:tcW w:w="3832" w:type="pct"/>
          </w:tcPr>
          <w:p>
            <w:pPr>
              <w:rPr>
                <w:rFonts w:ascii="宋体" w:hAnsi="宋体" w:cs="宋体" w:hint="eastAsia"/>
                <w:szCs w:val="21"/>
              </w:rPr>
            </w:pPr>
            <w:r>
              <w:rPr>
                <w:rFonts w:ascii="宋体" w:hAnsi="宋体" w:cs="宋体" w:hint="eastAsia"/>
                <w:szCs w:val="21"/>
              </w:rPr>
              <w:t>1.1.2相对湿度： 20-80%</w:t>
            </w:r>
          </w:p>
        </w:tc>
      </w:tr>
      <w:tr>
        <w:tblPrEx>
          <w:tblW w:w="5000" w:type="pct"/>
          <w:tblCellMar>
            <w:top w:w="0" w:type="dxa"/>
            <w:left w:w="108" w:type="dxa"/>
            <w:bottom w:w="0" w:type="dxa"/>
            <w:right w:w="108" w:type="dxa"/>
          </w:tblCellMar>
          <w:tblLook w:val="0000"/>
        </w:tblPrEx>
        <w:trPr>
          <w:trHeight w:val="170"/>
        </w:trPr>
        <w:tc>
          <w:tcPr>
            <w:tcW w:w="497" w:type="pct"/>
            <w:vMerge/>
            <w:vAlign w:val="center"/>
          </w:tcPr>
          <w:p>
            <w:pPr>
              <w:jc w:val="center"/>
              <w:rPr>
                <w:rFonts w:ascii="宋体" w:hAnsi="宋体" w:cs="宋体" w:hint="eastAsia"/>
                <w:szCs w:val="21"/>
              </w:rPr>
            </w:pPr>
          </w:p>
        </w:tc>
        <w:tc>
          <w:tcPr>
            <w:tcW w:w="670" w:type="pct"/>
            <w:vMerge/>
            <w:vAlign w:val="center"/>
          </w:tcPr>
          <w:p>
            <w:pPr>
              <w:jc w:val="center"/>
              <w:rPr>
                <w:rFonts w:ascii="宋体" w:hAnsi="宋体" w:cs="宋体" w:hint="eastAsia"/>
                <w:szCs w:val="21"/>
              </w:rPr>
            </w:pPr>
          </w:p>
        </w:tc>
        <w:tc>
          <w:tcPr>
            <w:tcW w:w="3832" w:type="pct"/>
          </w:tcPr>
          <w:p>
            <w:pPr>
              <w:rPr>
                <w:rFonts w:ascii="宋体" w:hAnsi="宋体" w:cs="宋体" w:hint="eastAsia"/>
                <w:szCs w:val="21"/>
              </w:rPr>
            </w:pPr>
            <w:r>
              <w:rPr>
                <w:rFonts w:ascii="宋体" w:hAnsi="宋体" w:cs="宋体" w:hint="eastAsia"/>
                <w:szCs w:val="21"/>
              </w:rPr>
              <w:t>1.2技术规格</w:t>
            </w:r>
          </w:p>
        </w:tc>
      </w:tr>
      <w:tr>
        <w:tblPrEx>
          <w:tblW w:w="5000" w:type="pct"/>
          <w:tblCellMar>
            <w:top w:w="0" w:type="dxa"/>
            <w:left w:w="108" w:type="dxa"/>
            <w:bottom w:w="0" w:type="dxa"/>
            <w:right w:w="108" w:type="dxa"/>
          </w:tblCellMar>
          <w:tblLook w:val="0000"/>
        </w:tblPrEx>
        <w:trPr>
          <w:trHeight w:val="170"/>
        </w:trPr>
        <w:tc>
          <w:tcPr>
            <w:tcW w:w="497" w:type="pct"/>
            <w:vMerge/>
            <w:vAlign w:val="center"/>
          </w:tcPr>
          <w:p>
            <w:pPr>
              <w:jc w:val="center"/>
              <w:rPr>
                <w:rFonts w:ascii="宋体" w:hAnsi="宋体" w:cs="宋体" w:hint="eastAsia"/>
                <w:szCs w:val="21"/>
              </w:rPr>
            </w:pPr>
          </w:p>
        </w:tc>
        <w:tc>
          <w:tcPr>
            <w:tcW w:w="670" w:type="pct"/>
            <w:vMerge/>
            <w:vAlign w:val="center"/>
          </w:tcPr>
          <w:p>
            <w:pPr>
              <w:jc w:val="center"/>
              <w:rPr>
                <w:rFonts w:ascii="宋体" w:hAnsi="宋体" w:cs="宋体" w:hint="eastAsia"/>
                <w:szCs w:val="21"/>
              </w:rPr>
            </w:pPr>
          </w:p>
        </w:tc>
        <w:tc>
          <w:tcPr>
            <w:tcW w:w="3832" w:type="pct"/>
          </w:tcPr>
          <w:p>
            <w:pPr>
              <w:rPr>
                <w:rFonts w:ascii="宋体" w:hAnsi="宋体" w:cs="宋体" w:hint="eastAsia"/>
                <w:szCs w:val="21"/>
              </w:rPr>
            </w:pPr>
            <w:r>
              <w:rPr>
                <w:rFonts w:ascii="宋体" w:hAnsi="宋体" w:cs="宋体" w:hint="eastAsia"/>
                <w:b/>
                <w:bCs/>
                <w:szCs w:val="21"/>
              </w:rPr>
              <w:t>★1.2.1仪器主机：火焰/石墨炉全自动一体化设计，火焰、石墨炉原子化器无需机械切换，无需调整石墨炉自动进样器，可以设置双系统工作模式，在软件上编辑两个系统分别要测试的元素，仪器会在完成火焰测试后自动切换到石墨炉系统，无须人工切换</w:t>
            </w:r>
          </w:p>
        </w:tc>
      </w:tr>
      <w:tr>
        <w:tblPrEx>
          <w:tblW w:w="5000" w:type="pct"/>
          <w:tblCellMar>
            <w:top w:w="0" w:type="dxa"/>
            <w:left w:w="108" w:type="dxa"/>
            <w:bottom w:w="0" w:type="dxa"/>
            <w:right w:w="108" w:type="dxa"/>
          </w:tblCellMar>
          <w:tblLook w:val="0000"/>
        </w:tblPrEx>
        <w:trPr>
          <w:trHeight w:val="170"/>
        </w:trPr>
        <w:tc>
          <w:tcPr>
            <w:tcW w:w="497" w:type="pct"/>
            <w:vMerge/>
            <w:vAlign w:val="center"/>
          </w:tcPr>
          <w:p>
            <w:pPr>
              <w:jc w:val="center"/>
              <w:rPr>
                <w:rFonts w:ascii="宋体" w:hAnsi="宋体" w:cs="宋体" w:hint="eastAsia"/>
                <w:szCs w:val="21"/>
              </w:rPr>
            </w:pPr>
          </w:p>
        </w:tc>
        <w:tc>
          <w:tcPr>
            <w:tcW w:w="670" w:type="pct"/>
            <w:vMerge/>
            <w:vAlign w:val="center"/>
          </w:tcPr>
          <w:p>
            <w:pPr>
              <w:jc w:val="center"/>
              <w:rPr>
                <w:rFonts w:ascii="宋体" w:hAnsi="宋体" w:cs="宋体" w:hint="eastAsia"/>
                <w:szCs w:val="21"/>
              </w:rPr>
            </w:pPr>
          </w:p>
        </w:tc>
        <w:tc>
          <w:tcPr>
            <w:tcW w:w="3832" w:type="pct"/>
          </w:tcPr>
          <w:p>
            <w:pPr>
              <w:rPr>
                <w:rFonts w:ascii="宋体" w:hAnsi="宋体" w:cs="宋体" w:hint="eastAsia"/>
                <w:szCs w:val="21"/>
              </w:rPr>
            </w:pPr>
            <w:r>
              <w:rPr>
                <w:rFonts w:ascii="宋体" w:hAnsi="宋体" w:cs="宋体" w:hint="eastAsia"/>
                <w:b/>
                <w:bCs/>
                <w:szCs w:val="21"/>
              </w:rPr>
              <w:t>★1.2.2背景校正：火焰使用氘灯背景校正，石墨炉使用氘灯及交流塞曼背景校正，可校正高达3A的背景，对2A的背景，误差小于2%，对1A的背景，误差小于1%</w:t>
            </w:r>
          </w:p>
        </w:tc>
      </w:tr>
      <w:tr>
        <w:tblPrEx>
          <w:tblW w:w="5000" w:type="pct"/>
          <w:tblCellMar>
            <w:top w:w="0" w:type="dxa"/>
            <w:left w:w="108" w:type="dxa"/>
            <w:bottom w:w="0" w:type="dxa"/>
            <w:right w:w="108" w:type="dxa"/>
          </w:tblCellMar>
          <w:tblLook w:val="0000"/>
        </w:tblPrEx>
        <w:trPr>
          <w:trHeight w:val="170"/>
        </w:trPr>
        <w:tc>
          <w:tcPr>
            <w:tcW w:w="497" w:type="pct"/>
            <w:vMerge/>
            <w:vAlign w:val="center"/>
          </w:tcPr>
          <w:p>
            <w:pPr>
              <w:jc w:val="center"/>
              <w:rPr>
                <w:rFonts w:ascii="宋体" w:hAnsi="宋体" w:cs="宋体" w:hint="eastAsia"/>
                <w:szCs w:val="21"/>
              </w:rPr>
            </w:pPr>
          </w:p>
        </w:tc>
        <w:tc>
          <w:tcPr>
            <w:tcW w:w="670" w:type="pct"/>
            <w:vMerge/>
            <w:vAlign w:val="center"/>
          </w:tcPr>
          <w:p>
            <w:pPr>
              <w:jc w:val="center"/>
              <w:rPr>
                <w:rFonts w:ascii="宋体" w:hAnsi="宋体" w:cs="宋体" w:hint="eastAsia"/>
                <w:szCs w:val="21"/>
              </w:rPr>
            </w:pPr>
          </w:p>
        </w:tc>
        <w:tc>
          <w:tcPr>
            <w:tcW w:w="3832" w:type="pct"/>
          </w:tcPr>
          <w:p>
            <w:pPr>
              <w:rPr>
                <w:rFonts w:ascii="宋体" w:hAnsi="宋体" w:cs="宋体" w:hint="eastAsia"/>
                <w:szCs w:val="21"/>
              </w:rPr>
            </w:pPr>
            <w:r>
              <w:rPr>
                <w:rFonts w:ascii="宋体" w:hAnsi="宋体" w:cs="宋体" w:hint="eastAsia"/>
                <w:szCs w:val="21"/>
              </w:rPr>
              <w:t>1.2.3光源</w:t>
            </w:r>
          </w:p>
        </w:tc>
      </w:tr>
      <w:tr>
        <w:tblPrEx>
          <w:tblW w:w="5000" w:type="pct"/>
          <w:tblCellMar>
            <w:top w:w="0" w:type="dxa"/>
            <w:left w:w="108" w:type="dxa"/>
            <w:bottom w:w="0" w:type="dxa"/>
            <w:right w:w="108" w:type="dxa"/>
          </w:tblCellMar>
          <w:tblLook w:val="0000"/>
        </w:tblPrEx>
        <w:trPr>
          <w:trHeight w:val="170"/>
        </w:trPr>
        <w:tc>
          <w:tcPr>
            <w:tcW w:w="497" w:type="pct"/>
            <w:vMerge/>
            <w:vAlign w:val="center"/>
          </w:tcPr>
          <w:p>
            <w:pPr>
              <w:jc w:val="center"/>
              <w:rPr>
                <w:rFonts w:ascii="宋体" w:hAnsi="宋体" w:cs="宋体" w:hint="eastAsia"/>
                <w:szCs w:val="21"/>
              </w:rPr>
            </w:pPr>
          </w:p>
        </w:tc>
        <w:tc>
          <w:tcPr>
            <w:tcW w:w="670" w:type="pct"/>
            <w:vMerge/>
            <w:vAlign w:val="center"/>
          </w:tcPr>
          <w:p>
            <w:pPr>
              <w:jc w:val="center"/>
              <w:rPr>
                <w:rFonts w:ascii="宋体" w:hAnsi="宋体" w:cs="宋体" w:hint="eastAsia"/>
                <w:szCs w:val="21"/>
              </w:rPr>
            </w:pPr>
          </w:p>
        </w:tc>
        <w:tc>
          <w:tcPr>
            <w:tcW w:w="3832" w:type="pct"/>
          </w:tcPr>
          <w:p>
            <w:pPr>
              <w:rPr>
                <w:rFonts w:ascii="宋体" w:hAnsi="宋体" w:cs="宋体" w:hint="eastAsia"/>
                <w:szCs w:val="21"/>
              </w:rPr>
            </w:pPr>
            <w:r>
              <w:rPr>
                <w:rFonts w:ascii="宋体" w:hAnsi="宋体" w:cs="宋体" w:hint="eastAsia"/>
                <w:b/>
                <w:bCs/>
                <w:szCs w:val="21"/>
              </w:rPr>
              <w:t>★1.2.3.1灯座：六灯座及以上，且每盏灯配备独立电源，可同时点亮6灯预热，自动选择并准直</w:t>
            </w:r>
          </w:p>
        </w:tc>
      </w:tr>
      <w:tr>
        <w:tblPrEx>
          <w:tblW w:w="5000" w:type="pct"/>
          <w:tblCellMar>
            <w:top w:w="0" w:type="dxa"/>
            <w:left w:w="108" w:type="dxa"/>
            <w:bottom w:w="0" w:type="dxa"/>
            <w:right w:w="108" w:type="dxa"/>
          </w:tblCellMar>
          <w:tblLook w:val="0000"/>
        </w:tblPrEx>
        <w:trPr>
          <w:trHeight w:val="170"/>
        </w:trPr>
        <w:tc>
          <w:tcPr>
            <w:tcW w:w="497" w:type="pct"/>
            <w:vMerge/>
            <w:vAlign w:val="center"/>
          </w:tcPr>
          <w:p>
            <w:pPr>
              <w:jc w:val="center"/>
              <w:rPr>
                <w:rFonts w:ascii="宋体" w:hAnsi="宋体" w:cs="宋体" w:hint="eastAsia"/>
                <w:szCs w:val="21"/>
              </w:rPr>
            </w:pPr>
          </w:p>
        </w:tc>
        <w:tc>
          <w:tcPr>
            <w:tcW w:w="670" w:type="pct"/>
            <w:vMerge/>
            <w:vAlign w:val="center"/>
          </w:tcPr>
          <w:p>
            <w:pPr>
              <w:jc w:val="center"/>
              <w:rPr>
                <w:rFonts w:ascii="宋体" w:hAnsi="宋体" w:cs="宋体" w:hint="eastAsia"/>
                <w:szCs w:val="21"/>
              </w:rPr>
            </w:pPr>
          </w:p>
        </w:tc>
        <w:tc>
          <w:tcPr>
            <w:tcW w:w="3832" w:type="pct"/>
          </w:tcPr>
          <w:p>
            <w:pPr>
              <w:rPr>
                <w:rFonts w:ascii="宋体" w:hAnsi="宋体" w:cs="宋体" w:hint="eastAsia"/>
                <w:szCs w:val="21"/>
              </w:rPr>
            </w:pPr>
            <w:r>
              <w:rPr>
                <w:rFonts w:ascii="宋体" w:hAnsi="宋体" w:cs="宋体" w:hint="eastAsia"/>
                <w:szCs w:val="21"/>
              </w:rPr>
              <w:t>1.2.3.2空心阴极灯：编码空心阴极灯，可直接用国产空心阴极灯，无需任何转接头</w:t>
            </w:r>
          </w:p>
        </w:tc>
      </w:tr>
      <w:tr>
        <w:tblPrEx>
          <w:tblW w:w="5000" w:type="pct"/>
          <w:tblCellMar>
            <w:top w:w="0" w:type="dxa"/>
            <w:left w:w="108" w:type="dxa"/>
            <w:bottom w:w="0" w:type="dxa"/>
            <w:right w:w="108" w:type="dxa"/>
          </w:tblCellMar>
          <w:tblLook w:val="0000"/>
        </w:tblPrEx>
        <w:trPr>
          <w:trHeight w:val="170"/>
        </w:trPr>
        <w:tc>
          <w:tcPr>
            <w:tcW w:w="497" w:type="pct"/>
            <w:vMerge/>
            <w:vAlign w:val="center"/>
          </w:tcPr>
          <w:p>
            <w:pPr>
              <w:jc w:val="center"/>
              <w:rPr>
                <w:rFonts w:ascii="宋体" w:hAnsi="宋体" w:cs="宋体" w:hint="eastAsia"/>
                <w:szCs w:val="21"/>
              </w:rPr>
            </w:pPr>
          </w:p>
        </w:tc>
        <w:tc>
          <w:tcPr>
            <w:tcW w:w="670" w:type="pct"/>
            <w:vMerge/>
            <w:vAlign w:val="center"/>
          </w:tcPr>
          <w:p>
            <w:pPr>
              <w:jc w:val="center"/>
              <w:rPr>
                <w:rFonts w:ascii="宋体" w:hAnsi="宋体" w:cs="宋体" w:hint="eastAsia"/>
                <w:szCs w:val="21"/>
              </w:rPr>
            </w:pPr>
          </w:p>
        </w:tc>
        <w:tc>
          <w:tcPr>
            <w:tcW w:w="3832" w:type="pct"/>
          </w:tcPr>
          <w:p>
            <w:pPr>
              <w:rPr>
                <w:rFonts w:ascii="宋体" w:hAnsi="宋体" w:cs="宋体" w:hint="eastAsia"/>
                <w:szCs w:val="21"/>
              </w:rPr>
            </w:pPr>
            <w:r>
              <w:rPr>
                <w:rFonts w:ascii="宋体" w:hAnsi="宋体" w:cs="宋体" w:hint="eastAsia"/>
                <w:szCs w:val="21"/>
              </w:rPr>
              <w:t>1.2.4光学系统</w:t>
            </w:r>
          </w:p>
        </w:tc>
      </w:tr>
      <w:tr>
        <w:tblPrEx>
          <w:tblW w:w="5000" w:type="pct"/>
          <w:tblCellMar>
            <w:top w:w="0" w:type="dxa"/>
            <w:left w:w="108" w:type="dxa"/>
            <w:bottom w:w="0" w:type="dxa"/>
            <w:right w:w="108" w:type="dxa"/>
          </w:tblCellMar>
          <w:tblLook w:val="0000"/>
        </w:tblPrEx>
        <w:trPr>
          <w:trHeight w:val="170"/>
        </w:trPr>
        <w:tc>
          <w:tcPr>
            <w:tcW w:w="497" w:type="pct"/>
            <w:vMerge/>
            <w:vAlign w:val="center"/>
          </w:tcPr>
          <w:p>
            <w:pPr>
              <w:jc w:val="center"/>
              <w:rPr>
                <w:rFonts w:ascii="宋体" w:hAnsi="宋体" w:cs="宋体" w:hint="eastAsia"/>
                <w:szCs w:val="21"/>
              </w:rPr>
            </w:pPr>
          </w:p>
        </w:tc>
        <w:tc>
          <w:tcPr>
            <w:tcW w:w="670" w:type="pct"/>
            <w:vMerge/>
            <w:vAlign w:val="center"/>
          </w:tcPr>
          <w:p>
            <w:pPr>
              <w:jc w:val="center"/>
              <w:rPr>
                <w:rFonts w:ascii="宋体" w:hAnsi="宋体" w:cs="宋体" w:hint="eastAsia"/>
                <w:szCs w:val="21"/>
              </w:rPr>
            </w:pPr>
          </w:p>
        </w:tc>
        <w:tc>
          <w:tcPr>
            <w:tcW w:w="3832" w:type="pct"/>
          </w:tcPr>
          <w:p>
            <w:pPr>
              <w:rPr>
                <w:rFonts w:ascii="宋体" w:hAnsi="宋体" w:cs="宋体" w:hint="eastAsia"/>
                <w:szCs w:val="21"/>
              </w:rPr>
            </w:pPr>
            <w:r>
              <w:rPr>
                <w:rFonts w:ascii="宋体" w:hAnsi="宋体" w:cs="宋体" w:hint="eastAsia"/>
                <w:szCs w:val="21"/>
              </w:rPr>
              <w:t>1.2.4.1光路：双光束系统</w:t>
            </w:r>
          </w:p>
        </w:tc>
      </w:tr>
      <w:tr>
        <w:tblPrEx>
          <w:tblW w:w="5000" w:type="pct"/>
          <w:tblCellMar>
            <w:top w:w="0" w:type="dxa"/>
            <w:left w:w="108" w:type="dxa"/>
            <w:bottom w:w="0" w:type="dxa"/>
            <w:right w:w="108" w:type="dxa"/>
          </w:tblCellMar>
          <w:tblLook w:val="0000"/>
        </w:tblPrEx>
        <w:trPr>
          <w:trHeight w:val="170"/>
        </w:trPr>
        <w:tc>
          <w:tcPr>
            <w:tcW w:w="497" w:type="pct"/>
            <w:vMerge/>
            <w:vAlign w:val="center"/>
          </w:tcPr>
          <w:p>
            <w:pPr>
              <w:jc w:val="center"/>
              <w:rPr>
                <w:rFonts w:ascii="宋体" w:hAnsi="宋体" w:cs="宋体" w:hint="eastAsia"/>
                <w:szCs w:val="21"/>
              </w:rPr>
            </w:pPr>
          </w:p>
        </w:tc>
        <w:tc>
          <w:tcPr>
            <w:tcW w:w="670" w:type="pct"/>
            <w:vMerge/>
            <w:vAlign w:val="center"/>
          </w:tcPr>
          <w:p>
            <w:pPr>
              <w:jc w:val="center"/>
              <w:rPr>
                <w:rFonts w:ascii="宋体" w:hAnsi="宋体" w:cs="宋体" w:hint="eastAsia"/>
                <w:szCs w:val="21"/>
              </w:rPr>
            </w:pPr>
          </w:p>
        </w:tc>
        <w:tc>
          <w:tcPr>
            <w:tcW w:w="3832" w:type="pct"/>
          </w:tcPr>
          <w:p>
            <w:pPr>
              <w:rPr>
                <w:rFonts w:ascii="宋体" w:hAnsi="宋体" w:cs="宋体" w:hint="eastAsia"/>
                <w:szCs w:val="21"/>
              </w:rPr>
            </w:pPr>
            <w:r>
              <w:rPr>
                <w:rFonts w:ascii="宋体" w:hAnsi="宋体" w:cs="宋体" w:hint="eastAsia"/>
                <w:szCs w:val="21"/>
              </w:rPr>
              <w:t>▲1.2.4.2单色器：采用中阶梯光栅分光系统</w:t>
            </w:r>
          </w:p>
        </w:tc>
      </w:tr>
      <w:tr>
        <w:tblPrEx>
          <w:tblW w:w="5000" w:type="pct"/>
          <w:tblCellMar>
            <w:top w:w="0" w:type="dxa"/>
            <w:left w:w="108" w:type="dxa"/>
            <w:bottom w:w="0" w:type="dxa"/>
            <w:right w:w="108" w:type="dxa"/>
          </w:tblCellMar>
          <w:tblLook w:val="0000"/>
        </w:tblPrEx>
        <w:trPr>
          <w:trHeight w:val="170"/>
        </w:trPr>
        <w:tc>
          <w:tcPr>
            <w:tcW w:w="497" w:type="pct"/>
            <w:vMerge/>
            <w:vAlign w:val="center"/>
          </w:tcPr>
          <w:p>
            <w:pPr>
              <w:jc w:val="center"/>
              <w:rPr>
                <w:rFonts w:ascii="宋体" w:hAnsi="宋体" w:cs="宋体" w:hint="eastAsia"/>
                <w:szCs w:val="21"/>
              </w:rPr>
            </w:pPr>
          </w:p>
        </w:tc>
        <w:tc>
          <w:tcPr>
            <w:tcW w:w="670" w:type="pct"/>
            <w:vMerge/>
            <w:vAlign w:val="center"/>
          </w:tcPr>
          <w:p>
            <w:pPr>
              <w:jc w:val="center"/>
              <w:rPr>
                <w:rFonts w:ascii="宋体" w:hAnsi="宋体" w:cs="宋体" w:hint="eastAsia"/>
                <w:szCs w:val="21"/>
              </w:rPr>
            </w:pPr>
          </w:p>
        </w:tc>
        <w:tc>
          <w:tcPr>
            <w:tcW w:w="3832" w:type="pct"/>
          </w:tcPr>
          <w:p>
            <w:pPr>
              <w:rPr>
                <w:rFonts w:ascii="宋体" w:hAnsi="宋体" w:cs="宋体" w:hint="eastAsia"/>
                <w:szCs w:val="21"/>
              </w:rPr>
            </w:pPr>
            <w:r>
              <w:rPr>
                <w:rFonts w:ascii="宋体" w:hAnsi="宋体" w:cs="宋体" w:hint="eastAsia"/>
                <w:szCs w:val="21"/>
              </w:rPr>
              <w:t>▲1.2.4.3波长：≥180－900nm范围，自动选择</w:t>
            </w:r>
          </w:p>
        </w:tc>
      </w:tr>
      <w:tr>
        <w:tblPrEx>
          <w:tblW w:w="5000" w:type="pct"/>
          <w:tblCellMar>
            <w:top w:w="0" w:type="dxa"/>
            <w:left w:w="108" w:type="dxa"/>
            <w:bottom w:w="0" w:type="dxa"/>
            <w:right w:w="108" w:type="dxa"/>
          </w:tblCellMar>
          <w:tblLook w:val="0000"/>
        </w:tblPrEx>
        <w:trPr>
          <w:trHeight w:val="170"/>
        </w:trPr>
        <w:tc>
          <w:tcPr>
            <w:tcW w:w="497" w:type="pct"/>
            <w:vMerge/>
            <w:vAlign w:val="center"/>
          </w:tcPr>
          <w:p>
            <w:pPr>
              <w:jc w:val="center"/>
              <w:rPr>
                <w:rFonts w:ascii="宋体" w:hAnsi="宋体" w:cs="宋体" w:hint="eastAsia"/>
                <w:szCs w:val="21"/>
              </w:rPr>
            </w:pPr>
          </w:p>
        </w:tc>
        <w:tc>
          <w:tcPr>
            <w:tcW w:w="670" w:type="pct"/>
            <w:vMerge/>
            <w:vAlign w:val="center"/>
          </w:tcPr>
          <w:p>
            <w:pPr>
              <w:jc w:val="center"/>
              <w:rPr>
                <w:rFonts w:ascii="宋体" w:hAnsi="宋体" w:cs="宋体" w:hint="eastAsia"/>
                <w:szCs w:val="21"/>
              </w:rPr>
            </w:pPr>
          </w:p>
        </w:tc>
        <w:tc>
          <w:tcPr>
            <w:tcW w:w="3832" w:type="pct"/>
          </w:tcPr>
          <w:p>
            <w:pPr>
              <w:rPr>
                <w:rFonts w:ascii="宋体" w:hAnsi="宋体" w:cs="宋体" w:hint="eastAsia"/>
                <w:szCs w:val="21"/>
              </w:rPr>
            </w:pPr>
            <w:r>
              <w:rPr>
                <w:rFonts w:ascii="宋体" w:hAnsi="宋体" w:cs="宋体" w:hint="eastAsia"/>
                <w:szCs w:val="21"/>
              </w:rPr>
              <w:t>1.2.4.4狭缝：0.1、0.2、0.5、1.0nm狭缝，自动选择</w:t>
            </w:r>
          </w:p>
        </w:tc>
      </w:tr>
      <w:tr>
        <w:tblPrEx>
          <w:tblW w:w="5000" w:type="pct"/>
          <w:tblCellMar>
            <w:top w:w="0" w:type="dxa"/>
            <w:left w:w="108" w:type="dxa"/>
            <w:bottom w:w="0" w:type="dxa"/>
            <w:right w:w="108" w:type="dxa"/>
          </w:tblCellMar>
          <w:tblLook w:val="0000"/>
        </w:tblPrEx>
        <w:trPr>
          <w:trHeight w:val="170"/>
        </w:trPr>
        <w:tc>
          <w:tcPr>
            <w:tcW w:w="497" w:type="pct"/>
            <w:vMerge/>
            <w:vAlign w:val="center"/>
          </w:tcPr>
          <w:p>
            <w:pPr>
              <w:jc w:val="center"/>
              <w:rPr>
                <w:rFonts w:ascii="宋体" w:hAnsi="宋体" w:cs="宋体" w:hint="eastAsia"/>
                <w:szCs w:val="21"/>
              </w:rPr>
            </w:pPr>
          </w:p>
        </w:tc>
        <w:tc>
          <w:tcPr>
            <w:tcW w:w="670" w:type="pct"/>
            <w:vMerge/>
            <w:vAlign w:val="center"/>
          </w:tcPr>
          <w:p>
            <w:pPr>
              <w:jc w:val="center"/>
              <w:rPr>
                <w:rFonts w:ascii="宋体" w:hAnsi="宋体" w:cs="宋体" w:hint="eastAsia"/>
                <w:szCs w:val="21"/>
              </w:rPr>
            </w:pPr>
          </w:p>
        </w:tc>
        <w:tc>
          <w:tcPr>
            <w:tcW w:w="3832" w:type="pct"/>
          </w:tcPr>
          <w:p>
            <w:pPr>
              <w:rPr>
                <w:rFonts w:ascii="宋体" w:hAnsi="宋体" w:cs="宋体" w:hint="eastAsia"/>
                <w:szCs w:val="21"/>
              </w:rPr>
            </w:pPr>
            <w:r>
              <w:rPr>
                <w:rFonts w:ascii="宋体" w:hAnsi="宋体" w:cs="宋体" w:hint="eastAsia"/>
                <w:szCs w:val="21"/>
              </w:rPr>
              <w:t>1.2.4.5倒色散率≤0.5nm/mm</w:t>
            </w:r>
          </w:p>
        </w:tc>
      </w:tr>
      <w:tr>
        <w:tblPrEx>
          <w:tblW w:w="5000" w:type="pct"/>
          <w:tblCellMar>
            <w:top w:w="0" w:type="dxa"/>
            <w:left w:w="108" w:type="dxa"/>
            <w:bottom w:w="0" w:type="dxa"/>
            <w:right w:w="108" w:type="dxa"/>
          </w:tblCellMar>
          <w:tblLook w:val="0000"/>
        </w:tblPrEx>
        <w:trPr>
          <w:trHeight w:val="170"/>
        </w:trPr>
        <w:tc>
          <w:tcPr>
            <w:tcW w:w="497" w:type="pct"/>
            <w:vMerge/>
            <w:vAlign w:val="center"/>
          </w:tcPr>
          <w:p>
            <w:pPr>
              <w:jc w:val="center"/>
              <w:rPr>
                <w:rFonts w:ascii="宋体" w:hAnsi="宋体" w:cs="宋体" w:hint="eastAsia"/>
                <w:szCs w:val="21"/>
              </w:rPr>
            </w:pPr>
          </w:p>
        </w:tc>
        <w:tc>
          <w:tcPr>
            <w:tcW w:w="670" w:type="pct"/>
            <w:vMerge/>
            <w:vAlign w:val="center"/>
          </w:tcPr>
          <w:p>
            <w:pPr>
              <w:jc w:val="center"/>
              <w:rPr>
                <w:rFonts w:ascii="宋体" w:hAnsi="宋体" w:cs="宋体" w:hint="eastAsia"/>
                <w:szCs w:val="21"/>
              </w:rPr>
            </w:pPr>
          </w:p>
        </w:tc>
        <w:tc>
          <w:tcPr>
            <w:tcW w:w="3832" w:type="pct"/>
          </w:tcPr>
          <w:p>
            <w:pPr>
              <w:rPr>
                <w:rFonts w:ascii="宋体" w:hAnsi="宋体" w:cs="宋体" w:hint="eastAsia"/>
                <w:szCs w:val="21"/>
              </w:rPr>
            </w:pPr>
            <w:r>
              <w:rPr>
                <w:rFonts w:ascii="宋体" w:hAnsi="宋体" w:cs="宋体" w:hint="eastAsia"/>
                <w:szCs w:val="21"/>
              </w:rPr>
              <w:t>1.2.5火焰系统</w:t>
            </w:r>
          </w:p>
        </w:tc>
      </w:tr>
      <w:tr>
        <w:tblPrEx>
          <w:tblW w:w="5000" w:type="pct"/>
          <w:tblCellMar>
            <w:top w:w="0" w:type="dxa"/>
            <w:left w:w="108" w:type="dxa"/>
            <w:bottom w:w="0" w:type="dxa"/>
            <w:right w:w="108" w:type="dxa"/>
          </w:tblCellMar>
          <w:tblLook w:val="0000"/>
        </w:tblPrEx>
        <w:trPr>
          <w:trHeight w:val="170"/>
        </w:trPr>
        <w:tc>
          <w:tcPr>
            <w:tcW w:w="497" w:type="pct"/>
            <w:vMerge/>
            <w:vAlign w:val="center"/>
          </w:tcPr>
          <w:p>
            <w:pPr>
              <w:jc w:val="center"/>
              <w:rPr>
                <w:rFonts w:ascii="宋体" w:hAnsi="宋体" w:cs="宋体" w:hint="eastAsia"/>
                <w:szCs w:val="21"/>
              </w:rPr>
            </w:pPr>
          </w:p>
        </w:tc>
        <w:tc>
          <w:tcPr>
            <w:tcW w:w="670" w:type="pct"/>
            <w:vMerge/>
            <w:vAlign w:val="center"/>
          </w:tcPr>
          <w:p>
            <w:pPr>
              <w:jc w:val="center"/>
              <w:rPr>
                <w:rFonts w:ascii="宋体" w:hAnsi="宋体" w:cs="宋体" w:hint="eastAsia"/>
                <w:szCs w:val="21"/>
              </w:rPr>
            </w:pPr>
          </w:p>
        </w:tc>
        <w:tc>
          <w:tcPr>
            <w:tcW w:w="3832" w:type="pct"/>
          </w:tcPr>
          <w:p>
            <w:pPr>
              <w:rPr>
                <w:rFonts w:ascii="宋体" w:hAnsi="宋体" w:cs="宋体" w:hint="eastAsia"/>
                <w:szCs w:val="21"/>
              </w:rPr>
            </w:pPr>
            <w:r>
              <w:rPr>
                <w:rFonts w:ascii="宋体" w:hAnsi="宋体" w:cs="宋体" w:hint="eastAsia"/>
                <w:szCs w:val="21"/>
              </w:rPr>
              <w:t>1.2.5.1雾化室：耐酸耐碱材料雾化室，标配耐酸碱的撞击球与扰流器</w:t>
            </w:r>
          </w:p>
        </w:tc>
      </w:tr>
      <w:tr>
        <w:tblPrEx>
          <w:tblW w:w="5000" w:type="pct"/>
          <w:tblCellMar>
            <w:top w:w="0" w:type="dxa"/>
            <w:left w:w="108" w:type="dxa"/>
            <w:bottom w:w="0" w:type="dxa"/>
            <w:right w:w="108" w:type="dxa"/>
          </w:tblCellMar>
          <w:tblLook w:val="0000"/>
        </w:tblPrEx>
        <w:trPr>
          <w:trHeight w:val="170"/>
        </w:trPr>
        <w:tc>
          <w:tcPr>
            <w:tcW w:w="497" w:type="pct"/>
            <w:vMerge/>
            <w:vAlign w:val="center"/>
          </w:tcPr>
          <w:p>
            <w:pPr>
              <w:jc w:val="center"/>
              <w:rPr>
                <w:rFonts w:ascii="宋体" w:hAnsi="宋体" w:cs="宋体" w:hint="eastAsia"/>
                <w:szCs w:val="21"/>
              </w:rPr>
            </w:pPr>
          </w:p>
        </w:tc>
        <w:tc>
          <w:tcPr>
            <w:tcW w:w="670" w:type="pct"/>
            <w:vMerge/>
            <w:vAlign w:val="center"/>
          </w:tcPr>
          <w:p>
            <w:pPr>
              <w:jc w:val="center"/>
              <w:rPr>
                <w:rFonts w:ascii="宋体" w:hAnsi="宋体" w:cs="宋体" w:hint="eastAsia"/>
                <w:szCs w:val="21"/>
              </w:rPr>
            </w:pPr>
          </w:p>
        </w:tc>
        <w:tc>
          <w:tcPr>
            <w:tcW w:w="3832" w:type="pct"/>
          </w:tcPr>
          <w:p>
            <w:pPr>
              <w:rPr>
                <w:rFonts w:ascii="宋体" w:hAnsi="宋体" w:cs="宋体" w:hint="eastAsia"/>
                <w:szCs w:val="21"/>
              </w:rPr>
            </w:pPr>
            <w:r>
              <w:rPr>
                <w:rFonts w:ascii="宋体" w:hAnsi="宋体" w:cs="宋体" w:hint="eastAsia"/>
                <w:szCs w:val="21"/>
              </w:rPr>
              <w:t>1.2.5.2雾化器：Pt/Ir合金毛细管与四氟乙烯喷嘴雾化器</w:t>
            </w:r>
          </w:p>
        </w:tc>
      </w:tr>
      <w:tr>
        <w:tblPrEx>
          <w:tblW w:w="5000" w:type="pct"/>
          <w:tblCellMar>
            <w:top w:w="0" w:type="dxa"/>
            <w:left w:w="108" w:type="dxa"/>
            <w:bottom w:w="0" w:type="dxa"/>
            <w:right w:w="108" w:type="dxa"/>
          </w:tblCellMar>
          <w:tblLook w:val="0000"/>
        </w:tblPrEx>
        <w:trPr>
          <w:trHeight w:val="170"/>
        </w:trPr>
        <w:tc>
          <w:tcPr>
            <w:tcW w:w="497" w:type="pct"/>
            <w:vMerge/>
            <w:vAlign w:val="center"/>
          </w:tcPr>
          <w:p>
            <w:pPr>
              <w:jc w:val="center"/>
              <w:rPr>
                <w:rFonts w:ascii="宋体" w:hAnsi="宋体" w:cs="宋体" w:hint="eastAsia"/>
                <w:szCs w:val="21"/>
              </w:rPr>
            </w:pPr>
          </w:p>
        </w:tc>
        <w:tc>
          <w:tcPr>
            <w:tcW w:w="670" w:type="pct"/>
            <w:vMerge/>
            <w:vAlign w:val="center"/>
          </w:tcPr>
          <w:p>
            <w:pPr>
              <w:jc w:val="center"/>
              <w:rPr>
                <w:rFonts w:ascii="宋体" w:hAnsi="宋体" w:cs="宋体" w:hint="eastAsia"/>
                <w:szCs w:val="21"/>
              </w:rPr>
            </w:pPr>
          </w:p>
        </w:tc>
        <w:tc>
          <w:tcPr>
            <w:tcW w:w="3832" w:type="pct"/>
          </w:tcPr>
          <w:p>
            <w:pPr>
              <w:rPr>
                <w:rFonts w:ascii="宋体" w:hAnsi="宋体" w:cs="宋体" w:hint="eastAsia"/>
                <w:szCs w:val="21"/>
              </w:rPr>
            </w:pPr>
            <w:r>
              <w:rPr>
                <w:rFonts w:ascii="宋体" w:hAnsi="宋体" w:cs="宋体" w:hint="eastAsia"/>
                <w:szCs w:val="21"/>
              </w:rPr>
              <w:t>1.2.5.3燃烧头：100mm全钛燃烧头，耐酸耐碱，燃烧头位置可计算机自动优化</w:t>
            </w:r>
          </w:p>
        </w:tc>
      </w:tr>
      <w:tr>
        <w:tblPrEx>
          <w:tblW w:w="5000" w:type="pct"/>
          <w:tblCellMar>
            <w:top w:w="0" w:type="dxa"/>
            <w:left w:w="108" w:type="dxa"/>
            <w:bottom w:w="0" w:type="dxa"/>
            <w:right w:w="108" w:type="dxa"/>
          </w:tblCellMar>
          <w:tblLook w:val="0000"/>
        </w:tblPrEx>
        <w:trPr>
          <w:trHeight w:val="170"/>
        </w:trPr>
        <w:tc>
          <w:tcPr>
            <w:tcW w:w="497" w:type="pct"/>
            <w:vMerge/>
            <w:vAlign w:val="center"/>
          </w:tcPr>
          <w:p>
            <w:pPr>
              <w:jc w:val="center"/>
              <w:rPr>
                <w:rFonts w:ascii="宋体" w:hAnsi="宋体" w:cs="宋体" w:hint="eastAsia"/>
                <w:szCs w:val="21"/>
              </w:rPr>
            </w:pPr>
          </w:p>
        </w:tc>
        <w:tc>
          <w:tcPr>
            <w:tcW w:w="670" w:type="pct"/>
            <w:vMerge/>
            <w:vAlign w:val="center"/>
          </w:tcPr>
          <w:p>
            <w:pPr>
              <w:jc w:val="center"/>
              <w:rPr>
                <w:rFonts w:ascii="宋体" w:hAnsi="宋体" w:cs="宋体" w:hint="eastAsia"/>
                <w:szCs w:val="21"/>
              </w:rPr>
            </w:pPr>
          </w:p>
        </w:tc>
        <w:tc>
          <w:tcPr>
            <w:tcW w:w="3832" w:type="pct"/>
          </w:tcPr>
          <w:p>
            <w:pPr>
              <w:rPr>
                <w:rFonts w:ascii="宋体" w:hAnsi="宋体" w:cs="宋体" w:hint="eastAsia"/>
                <w:szCs w:val="21"/>
              </w:rPr>
            </w:pPr>
            <w:r>
              <w:rPr>
                <w:rFonts w:ascii="宋体" w:hAnsi="宋体" w:cs="宋体" w:hint="eastAsia"/>
                <w:szCs w:val="21"/>
              </w:rPr>
              <w:t>▲1.2.5.4气体控制：燃气流量采用质量流量计自动控制并优化，非电磁阀控制</w:t>
            </w:r>
          </w:p>
        </w:tc>
      </w:tr>
      <w:tr>
        <w:tblPrEx>
          <w:tblW w:w="5000" w:type="pct"/>
          <w:tblCellMar>
            <w:top w:w="0" w:type="dxa"/>
            <w:left w:w="108" w:type="dxa"/>
            <w:bottom w:w="0" w:type="dxa"/>
            <w:right w:w="108" w:type="dxa"/>
          </w:tblCellMar>
          <w:tblLook w:val="0000"/>
        </w:tblPrEx>
        <w:trPr>
          <w:trHeight w:val="170"/>
        </w:trPr>
        <w:tc>
          <w:tcPr>
            <w:tcW w:w="497" w:type="pct"/>
            <w:vMerge/>
            <w:vAlign w:val="center"/>
          </w:tcPr>
          <w:p>
            <w:pPr>
              <w:jc w:val="center"/>
              <w:rPr>
                <w:rFonts w:ascii="宋体" w:hAnsi="宋体" w:cs="宋体" w:hint="eastAsia"/>
                <w:szCs w:val="21"/>
              </w:rPr>
            </w:pPr>
          </w:p>
        </w:tc>
        <w:tc>
          <w:tcPr>
            <w:tcW w:w="670" w:type="pct"/>
            <w:vMerge/>
            <w:vAlign w:val="center"/>
          </w:tcPr>
          <w:p>
            <w:pPr>
              <w:jc w:val="center"/>
              <w:rPr>
                <w:rFonts w:ascii="宋体" w:hAnsi="宋体" w:cs="宋体" w:hint="eastAsia"/>
                <w:szCs w:val="21"/>
              </w:rPr>
            </w:pPr>
          </w:p>
        </w:tc>
        <w:tc>
          <w:tcPr>
            <w:tcW w:w="3832" w:type="pct"/>
          </w:tcPr>
          <w:p>
            <w:pPr>
              <w:rPr>
                <w:rFonts w:ascii="宋体" w:hAnsi="宋体" w:cs="宋体" w:hint="eastAsia"/>
                <w:szCs w:val="21"/>
              </w:rPr>
            </w:pPr>
            <w:r>
              <w:rPr>
                <w:rFonts w:ascii="宋体" w:hAnsi="宋体" w:cs="宋体" w:hint="eastAsia"/>
                <w:szCs w:val="21"/>
              </w:rPr>
              <w:t>1.2.5.5安全监控系统：有火焰状态监控及防回火的安全连锁系统</w:t>
            </w:r>
          </w:p>
        </w:tc>
      </w:tr>
      <w:tr>
        <w:tblPrEx>
          <w:tblW w:w="5000" w:type="pct"/>
          <w:tblCellMar>
            <w:top w:w="0" w:type="dxa"/>
            <w:left w:w="108" w:type="dxa"/>
            <w:bottom w:w="0" w:type="dxa"/>
            <w:right w:w="108" w:type="dxa"/>
          </w:tblCellMar>
          <w:tblLook w:val="0000"/>
        </w:tblPrEx>
        <w:trPr>
          <w:trHeight w:val="337"/>
        </w:trPr>
        <w:tc>
          <w:tcPr>
            <w:tcW w:w="497" w:type="pct"/>
            <w:vMerge/>
            <w:vAlign w:val="center"/>
          </w:tcPr>
          <w:p>
            <w:pPr>
              <w:jc w:val="center"/>
              <w:rPr>
                <w:rFonts w:ascii="宋体" w:hAnsi="宋体" w:cs="宋体" w:hint="eastAsia"/>
                <w:szCs w:val="21"/>
              </w:rPr>
            </w:pPr>
          </w:p>
        </w:tc>
        <w:tc>
          <w:tcPr>
            <w:tcW w:w="670" w:type="pct"/>
            <w:vMerge/>
            <w:vAlign w:val="center"/>
          </w:tcPr>
          <w:p>
            <w:pPr>
              <w:jc w:val="center"/>
              <w:rPr>
                <w:rFonts w:ascii="宋体" w:hAnsi="宋体" w:cs="宋体" w:hint="eastAsia"/>
                <w:szCs w:val="21"/>
              </w:rPr>
            </w:pPr>
          </w:p>
        </w:tc>
        <w:tc>
          <w:tcPr>
            <w:tcW w:w="3832" w:type="pct"/>
          </w:tcPr>
          <w:p>
            <w:pPr>
              <w:rPr>
                <w:rFonts w:ascii="宋体" w:hAnsi="宋体" w:cs="宋体" w:hint="eastAsia"/>
                <w:szCs w:val="21"/>
              </w:rPr>
            </w:pPr>
            <w:r>
              <w:rPr>
                <w:rFonts w:ascii="宋体" w:hAnsi="宋体" w:cs="宋体" w:hint="eastAsia"/>
                <w:b/>
                <w:bCs/>
                <w:szCs w:val="21"/>
              </w:rPr>
              <w:t>★1.2.5.6灵敏度：5mg/L Cu吸光度≥1.0A</w:t>
            </w:r>
          </w:p>
        </w:tc>
      </w:tr>
      <w:tr>
        <w:tblPrEx>
          <w:tblW w:w="5000" w:type="pct"/>
          <w:tblCellMar>
            <w:top w:w="0" w:type="dxa"/>
            <w:left w:w="108" w:type="dxa"/>
            <w:bottom w:w="0" w:type="dxa"/>
            <w:right w:w="108" w:type="dxa"/>
          </w:tblCellMar>
          <w:tblLook w:val="0000"/>
        </w:tblPrEx>
        <w:trPr>
          <w:trHeight w:val="170"/>
        </w:trPr>
        <w:tc>
          <w:tcPr>
            <w:tcW w:w="497" w:type="pct"/>
            <w:vMerge/>
            <w:vAlign w:val="center"/>
          </w:tcPr>
          <w:p>
            <w:pPr>
              <w:jc w:val="center"/>
              <w:rPr>
                <w:rFonts w:ascii="宋体" w:hAnsi="宋体" w:cs="宋体" w:hint="eastAsia"/>
                <w:szCs w:val="21"/>
              </w:rPr>
            </w:pPr>
          </w:p>
        </w:tc>
        <w:tc>
          <w:tcPr>
            <w:tcW w:w="670" w:type="pct"/>
            <w:vMerge/>
            <w:vAlign w:val="center"/>
          </w:tcPr>
          <w:p>
            <w:pPr>
              <w:jc w:val="center"/>
              <w:rPr>
                <w:rFonts w:ascii="宋体" w:hAnsi="宋体" w:cs="宋体" w:hint="eastAsia"/>
                <w:szCs w:val="21"/>
              </w:rPr>
            </w:pPr>
          </w:p>
        </w:tc>
        <w:tc>
          <w:tcPr>
            <w:tcW w:w="3832" w:type="pct"/>
          </w:tcPr>
          <w:p>
            <w:pPr>
              <w:rPr>
                <w:rFonts w:ascii="宋体" w:hAnsi="宋体" w:cs="宋体" w:hint="eastAsia"/>
                <w:szCs w:val="21"/>
              </w:rPr>
            </w:pPr>
            <w:r>
              <w:rPr>
                <w:rFonts w:ascii="宋体" w:hAnsi="宋体" w:cs="宋体" w:hint="eastAsia"/>
                <w:szCs w:val="21"/>
              </w:rPr>
              <w:t>1.2.5.7稳定性：火焰法 RSD ≤0.5%</w:t>
            </w:r>
          </w:p>
        </w:tc>
      </w:tr>
      <w:tr>
        <w:tblPrEx>
          <w:tblW w:w="5000" w:type="pct"/>
          <w:tblCellMar>
            <w:top w:w="0" w:type="dxa"/>
            <w:left w:w="108" w:type="dxa"/>
            <w:bottom w:w="0" w:type="dxa"/>
            <w:right w:w="108" w:type="dxa"/>
          </w:tblCellMar>
          <w:tblLook w:val="0000"/>
        </w:tblPrEx>
        <w:trPr>
          <w:trHeight w:val="170"/>
        </w:trPr>
        <w:tc>
          <w:tcPr>
            <w:tcW w:w="497" w:type="pct"/>
            <w:vMerge/>
            <w:vAlign w:val="center"/>
          </w:tcPr>
          <w:p>
            <w:pPr>
              <w:jc w:val="center"/>
              <w:rPr>
                <w:rFonts w:ascii="宋体" w:hAnsi="宋体" w:cs="宋体" w:hint="eastAsia"/>
                <w:szCs w:val="21"/>
              </w:rPr>
            </w:pPr>
          </w:p>
        </w:tc>
        <w:tc>
          <w:tcPr>
            <w:tcW w:w="670" w:type="pct"/>
            <w:vMerge/>
            <w:vAlign w:val="center"/>
          </w:tcPr>
          <w:p>
            <w:pPr>
              <w:jc w:val="center"/>
              <w:rPr>
                <w:rFonts w:ascii="宋体" w:hAnsi="宋体" w:cs="宋体" w:hint="eastAsia"/>
                <w:szCs w:val="21"/>
              </w:rPr>
            </w:pPr>
          </w:p>
        </w:tc>
        <w:tc>
          <w:tcPr>
            <w:tcW w:w="3832" w:type="pct"/>
          </w:tcPr>
          <w:p>
            <w:pPr>
              <w:rPr>
                <w:rFonts w:ascii="宋体" w:hAnsi="宋体" w:cs="宋体" w:hint="eastAsia"/>
                <w:szCs w:val="21"/>
              </w:rPr>
            </w:pPr>
            <w:r>
              <w:rPr>
                <w:rFonts w:ascii="宋体" w:hAnsi="宋体" w:cs="宋体" w:hint="eastAsia"/>
                <w:szCs w:val="21"/>
              </w:rPr>
              <w:t>1.2.6石墨炉系统</w:t>
            </w:r>
          </w:p>
        </w:tc>
      </w:tr>
      <w:tr>
        <w:tblPrEx>
          <w:tblW w:w="5000" w:type="pct"/>
          <w:tblCellMar>
            <w:top w:w="0" w:type="dxa"/>
            <w:left w:w="108" w:type="dxa"/>
            <w:bottom w:w="0" w:type="dxa"/>
            <w:right w:w="108" w:type="dxa"/>
          </w:tblCellMar>
          <w:tblLook w:val="0000"/>
        </w:tblPrEx>
        <w:trPr>
          <w:trHeight w:val="170"/>
        </w:trPr>
        <w:tc>
          <w:tcPr>
            <w:tcW w:w="497" w:type="pct"/>
            <w:vMerge/>
            <w:vAlign w:val="center"/>
          </w:tcPr>
          <w:p>
            <w:pPr>
              <w:jc w:val="center"/>
              <w:rPr>
                <w:rFonts w:ascii="宋体" w:hAnsi="宋体" w:cs="宋体" w:hint="eastAsia"/>
                <w:szCs w:val="21"/>
              </w:rPr>
            </w:pPr>
          </w:p>
        </w:tc>
        <w:tc>
          <w:tcPr>
            <w:tcW w:w="670" w:type="pct"/>
            <w:vMerge/>
            <w:vAlign w:val="center"/>
          </w:tcPr>
          <w:p>
            <w:pPr>
              <w:jc w:val="center"/>
              <w:rPr>
                <w:rFonts w:ascii="宋体" w:hAnsi="宋体" w:cs="宋体" w:hint="eastAsia"/>
                <w:szCs w:val="21"/>
              </w:rPr>
            </w:pPr>
          </w:p>
        </w:tc>
        <w:tc>
          <w:tcPr>
            <w:tcW w:w="3832" w:type="pct"/>
          </w:tcPr>
          <w:p>
            <w:pPr>
              <w:rPr>
                <w:rFonts w:ascii="宋体" w:hAnsi="宋体" w:cs="宋体" w:hint="eastAsia"/>
                <w:szCs w:val="21"/>
              </w:rPr>
            </w:pPr>
            <w:r>
              <w:rPr>
                <w:rFonts w:ascii="宋体" w:hAnsi="宋体" w:cs="宋体" w:hint="eastAsia"/>
                <w:szCs w:val="21"/>
              </w:rPr>
              <w:t>1.2.6.1控温方式</w:t>
            </w:r>
            <w:r>
              <w:rPr>
                <w:rFonts w:ascii="宋体" w:hAnsi="宋体" w:cs="宋体" w:hint="eastAsia"/>
                <w:szCs w:val="21"/>
              </w:rPr>
              <w:tab/>
            </w:r>
            <w:r>
              <w:rPr>
                <w:rFonts w:ascii="宋体" w:hAnsi="宋体" w:cs="宋体" w:hint="eastAsia"/>
                <w:szCs w:val="21"/>
              </w:rPr>
              <w:t>：真实温度控制方式，带电压和光纤双重控温方式，过流保护</w:t>
            </w:r>
          </w:p>
        </w:tc>
      </w:tr>
      <w:tr>
        <w:tblPrEx>
          <w:tblW w:w="5000" w:type="pct"/>
          <w:tblCellMar>
            <w:top w:w="0" w:type="dxa"/>
            <w:left w:w="108" w:type="dxa"/>
            <w:bottom w:w="0" w:type="dxa"/>
            <w:right w:w="108" w:type="dxa"/>
          </w:tblCellMar>
          <w:tblLook w:val="0000"/>
        </w:tblPrEx>
        <w:trPr>
          <w:trHeight w:val="170"/>
        </w:trPr>
        <w:tc>
          <w:tcPr>
            <w:tcW w:w="497" w:type="pct"/>
            <w:vMerge/>
            <w:vAlign w:val="center"/>
          </w:tcPr>
          <w:p>
            <w:pPr>
              <w:jc w:val="center"/>
              <w:rPr>
                <w:rFonts w:ascii="宋体" w:hAnsi="宋体" w:cs="宋体" w:hint="eastAsia"/>
                <w:szCs w:val="21"/>
              </w:rPr>
            </w:pPr>
          </w:p>
        </w:tc>
        <w:tc>
          <w:tcPr>
            <w:tcW w:w="670" w:type="pct"/>
            <w:vMerge/>
            <w:vAlign w:val="center"/>
          </w:tcPr>
          <w:p>
            <w:pPr>
              <w:jc w:val="center"/>
              <w:rPr>
                <w:rFonts w:ascii="宋体" w:hAnsi="宋体" w:cs="宋体" w:hint="eastAsia"/>
                <w:szCs w:val="21"/>
              </w:rPr>
            </w:pPr>
          </w:p>
        </w:tc>
        <w:tc>
          <w:tcPr>
            <w:tcW w:w="3832" w:type="pct"/>
          </w:tcPr>
          <w:p>
            <w:pPr>
              <w:rPr>
                <w:rFonts w:ascii="宋体" w:hAnsi="宋体" w:cs="宋体" w:hint="eastAsia"/>
                <w:szCs w:val="21"/>
              </w:rPr>
            </w:pPr>
            <w:r>
              <w:rPr>
                <w:rFonts w:ascii="宋体" w:hAnsi="宋体" w:cs="宋体" w:hint="eastAsia"/>
                <w:b/>
                <w:bCs/>
                <w:szCs w:val="21"/>
              </w:rPr>
              <w:t>★1.2.6.2温度范围：室温－3000℃及以上，≥3500℃/S瞬间升温，控温精度为10℃</w:t>
            </w:r>
          </w:p>
        </w:tc>
      </w:tr>
      <w:tr>
        <w:tblPrEx>
          <w:tblW w:w="5000" w:type="pct"/>
          <w:tblCellMar>
            <w:top w:w="0" w:type="dxa"/>
            <w:left w:w="108" w:type="dxa"/>
            <w:bottom w:w="0" w:type="dxa"/>
            <w:right w:w="108" w:type="dxa"/>
          </w:tblCellMar>
          <w:tblLook w:val="0000"/>
        </w:tblPrEx>
        <w:trPr>
          <w:trHeight w:val="170"/>
        </w:trPr>
        <w:tc>
          <w:tcPr>
            <w:tcW w:w="497" w:type="pct"/>
            <w:vMerge/>
            <w:vAlign w:val="center"/>
          </w:tcPr>
          <w:p>
            <w:pPr>
              <w:jc w:val="center"/>
              <w:rPr>
                <w:rFonts w:ascii="宋体" w:hAnsi="宋体" w:cs="宋体" w:hint="eastAsia"/>
                <w:szCs w:val="21"/>
              </w:rPr>
            </w:pPr>
          </w:p>
        </w:tc>
        <w:tc>
          <w:tcPr>
            <w:tcW w:w="670" w:type="pct"/>
            <w:vMerge/>
            <w:vAlign w:val="center"/>
          </w:tcPr>
          <w:p>
            <w:pPr>
              <w:jc w:val="center"/>
              <w:rPr>
                <w:rFonts w:ascii="宋体" w:hAnsi="宋体" w:cs="宋体" w:hint="eastAsia"/>
                <w:szCs w:val="21"/>
              </w:rPr>
            </w:pPr>
          </w:p>
        </w:tc>
        <w:tc>
          <w:tcPr>
            <w:tcW w:w="3832" w:type="pct"/>
          </w:tcPr>
          <w:p>
            <w:pPr>
              <w:rPr>
                <w:rFonts w:ascii="宋体" w:hAnsi="宋体" w:cs="宋体" w:hint="eastAsia"/>
                <w:szCs w:val="21"/>
              </w:rPr>
            </w:pPr>
            <w:r>
              <w:rPr>
                <w:rFonts w:ascii="宋体" w:hAnsi="宋体" w:cs="宋体" w:hint="eastAsia"/>
                <w:szCs w:val="21"/>
              </w:rPr>
              <w:t>1.2.6.3程序升温：≥20段线性与非线性程序升温，有灰化/原子化温度自动优化功能</w:t>
            </w:r>
          </w:p>
        </w:tc>
      </w:tr>
      <w:tr>
        <w:tblPrEx>
          <w:tblW w:w="5000" w:type="pct"/>
          <w:tblCellMar>
            <w:top w:w="0" w:type="dxa"/>
            <w:left w:w="108" w:type="dxa"/>
            <w:bottom w:w="0" w:type="dxa"/>
            <w:right w:w="108" w:type="dxa"/>
          </w:tblCellMar>
          <w:tblLook w:val="0000"/>
        </w:tblPrEx>
        <w:trPr>
          <w:trHeight w:val="170"/>
        </w:trPr>
        <w:tc>
          <w:tcPr>
            <w:tcW w:w="497" w:type="pct"/>
            <w:vMerge/>
            <w:vAlign w:val="center"/>
          </w:tcPr>
          <w:p>
            <w:pPr>
              <w:jc w:val="center"/>
              <w:rPr>
                <w:rFonts w:ascii="宋体" w:hAnsi="宋体" w:cs="宋体" w:hint="eastAsia"/>
                <w:szCs w:val="21"/>
              </w:rPr>
            </w:pPr>
          </w:p>
        </w:tc>
        <w:tc>
          <w:tcPr>
            <w:tcW w:w="670" w:type="pct"/>
            <w:vMerge/>
            <w:vAlign w:val="center"/>
          </w:tcPr>
          <w:p>
            <w:pPr>
              <w:jc w:val="center"/>
              <w:rPr>
                <w:rFonts w:ascii="宋体" w:hAnsi="宋体" w:cs="宋体" w:hint="eastAsia"/>
                <w:szCs w:val="21"/>
              </w:rPr>
            </w:pPr>
          </w:p>
        </w:tc>
        <w:tc>
          <w:tcPr>
            <w:tcW w:w="3832" w:type="pct"/>
          </w:tcPr>
          <w:p>
            <w:pPr>
              <w:rPr>
                <w:rFonts w:ascii="宋体" w:hAnsi="宋体" w:cs="宋体" w:hint="eastAsia"/>
                <w:b/>
                <w:bCs/>
                <w:szCs w:val="21"/>
              </w:rPr>
            </w:pPr>
            <w:r>
              <w:rPr>
                <w:rFonts w:ascii="宋体" w:hAnsi="宋体" w:cs="宋体" w:hint="eastAsia"/>
                <w:b/>
                <w:bCs/>
                <w:szCs w:val="21"/>
              </w:rPr>
              <w:t>★1.2.6.4石墨管：长寿命石墨管保证可2800℃下使用2000次</w:t>
            </w:r>
          </w:p>
        </w:tc>
      </w:tr>
      <w:tr>
        <w:tblPrEx>
          <w:tblW w:w="5000" w:type="pct"/>
          <w:tblCellMar>
            <w:top w:w="0" w:type="dxa"/>
            <w:left w:w="108" w:type="dxa"/>
            <w:bottom w:w="0" w:type="dxa"/>
            <w:right w:w="108" w:type="dxa"/>
          </w:tblCellMar>
          <w:tblLook w:val="0000"/>
        </w:tblPrEx>
        <w:trPr>
          <w:trHeight w:val="170"/>
        </w:trPr>
        <w:tc>
          <w:tcPr>
            <w:tcW w:w="497" w:type="pct"/>
            <w:vMerge/>
            <w:vAlign w:val="center"/>
          </w:tcPr>
          <w:p>
            <w:pPr>
              <w:jc w:val="center"/>
              <w:rPr>
                <w:rFonts w:ascii="宋体" w:hAnsi="宋体" w:cs="宋体" w:hint="eastAsia"/>
                <w:szCs w:val="21"/>
              </w:rPr>
            </w:pPr>
          </w:p>
        </w:tc>
        <w:tc>
          <w:tcPr>
            <w:tcW w:w="670" w:type="pct"/>
            <w:vMerge/>
            <w:vAlign w:val="center"/>
          </w:tcPr>
          <w:p>
            <w:pPr>
              <w:jc w:val="center"/>
              <w:rPr>
                <w:rFonts w:ascii="宋体" w:hAnsi="宋体" w:cs="宋体" w:hint="eastAsia"/>
                <w:szCs w:val="21"/>
              </w:rPr>
            </w:pPr>
          </w:p>
        </w:tc>
        <w:tc>
          <w:tcPr>
            <w:tcW w:w="3832" w:type="pct"/>
          </w:tcPr>
          <w:p>
            <w:pPr>
              <w:rPr>
                <w:rFonts w:ascii="宋体" w:hAnsi="宋体" w:cs="宋体" w:hint="eastAsia"/>
                <w:b/>
                <w:bCs/>
                <w:szCs w:val="21"/>
              </w:rPr>
            </w:pPr>
            <w:r>
              <w:rPr>
                <w:rFonts w:ascii="宋体" w:hAnsi="宋体" w:cs="宋体" w:hint="eastAsia"/>
                <w:b/>
                <w:bCs/>
                <w:szCs w:val="21"/>
              </w:rPr>
              <w:t>★1.2.6.5灵敏度：Cd特征质量为≥0.6pg，Pb为≥1.5pg,As为≥5.2pg（均为20ul进样量，使用普通空心阴极灯）</w:t>
            </w:r>
          </w:p>
        </w:tc>
      </w:tr>
      <w:tr>
        <w:tblPrEx>
          <w:tblW w:w="5000" w:type="pct"/>
          <w:tblCellMar>
            <w:top w:w="0" w:type="dxa"/>
            <w:left w:w="108" w:type="dxa"/>
            <w:bottom w:w="0" w:type="dxa"/>
            <w:right w:w="108" w:type="dxa"/>
          </w:tblCellMar>
          <w:tblLook w:val="0000"/>
        </w:tblPrEx>
        <w:trPr>
          <w:trHeight w:val="170"/>
        </w:trPr>
        <w:tc>
          <w:tcPr>
            <w:tcW w:w="497" w:type="pct"/>
            <w:vMerge/>
            <w:vAlign w:val="center"/>
          </w:tcPr>
          <w:p>
            <w:pPr>
              <w:jc w:val="center"/>
              <w:rPr>
                <w:rFonts w:ascii="宋体" w:hAnsi="宋体" w:cs="宋体" w:hint="eastAsia"/>
                <w:szCs w:val="21"/>
              </w:rPr>
            </w:pPr>
          </w:p>
        </w:tc>
        <w:tc>
          <w:tcPr>
            <w:tcW w:w="670" w:type="pct"/>
            <w:vMerge/>
            <w:vAlign w:val="center"/>
          </w:tcPr>
          <w:p>
            <w:pPr>
              <w:jc w:val="center"/>
              <w:rPr>
                <w:rFonts w:ascii="宋体" w:hAnsi="宋体" w:cs="宋体" w:hint="eastAsia"/>
                <w:szCs w:val="21"/>
              </w:rPr>
            </w:pPr>
          </w:p>
        </w:tc>
        <w:tc>
          <w:tcPr>
            <w:tcW w:w="3832" w:type="pct"/>
          </w:tcPr>
          <w:p>
            <w:pPr>
              <w:rPr>
                <w:rFonts w:ascii="宋体" w:hAnsi="宋体" w:cs="宋体" w:hint="eastAsia"/>
                <w:szCs w:val="21"/>
              </w:rPr>
            </w:pPr>
            <w:r>
              <w:rPr>
                <w:rFonts w:ascii="宋体" w:hAnsi="宋体" w:cs="宋体" w:hint="eastAsia"/>
                <w:szCs w:val="21"/>
              </w:rPr>
              <w:t>1.2.6.6精密度：2ppbCd溶液连续测定七次的RSD≤3%</w:t>
            </w:r>
          </w:p>
        </w:tc>
      </w:tr>
      <w:tr>
        <w:tblPrEx>
          <w:tblW w:w="5000" w:type="pct"/>
          <w:tblCellMar>
            <w:top w:w="0" w:type="dxa"/>
            <w:left w:w="108" w:type="dxa"/>
            <w:bottom w:w="0" w:type="dxa"/>
            <w:right w:w="108" w:type="dxa"/>
          </w:tblCellMar>
          <w:tblLook w:val="0000"/>
        </w:tblPrEx>
        <w:trPr>
          <w:trHeight w:val="170"/>
        </w:trPr>
        <w:tc>
          <w:tcPr>
            <w:tcW w:w="497" w:type="pct"/>
            <w:vMerge/>
            <w:vAlign w:val="center"/>
          </w:tcPr>
          <w:p>
            <w:pPr>
              <w:jc w:val="center"/>
              <w:rPr>
                <w:rFonts w:ascii="宋体" w:hAnsi="宋体" w:cs="宋体" w:hint="eastAsia"/>
                <w:szCs w:val="21"/>
              </w:rPr>
            </w:pPr>
          </w:p>
        </w:tc>
        <w:tc>
          <w:tcPr>
            <w:tcW w:w="670" w:type="pct"/>
            <w:vMerge/>
            <w:vAlign w:val="center"/>
          </w:tcPr>
          <w:p>
            <w:pPr>
              <w:jc w:val="center"/>
              <w:rPr>
                <w:rFonts w:ascii="宋体" w:hAnsi="宋体" w:cs="宋体" w:hint="eastAsia"/>
                <w:szCs w:val="21"/>
              </w:rPr>
            </w:pPr>
          </w:p>
        </w:tc>
        <w:tc>
          <w:tcPr>
            <w:tcW w:w="3832" w:type="pct"/>
          </w:tcPr>
          <w:p>
            <w:pPr>
              <w:rPr>
                <w:rFonts w:ascii="宋体" w:hAnsi="宋体" w:cs="宋体" w:hint="eastAsia"/>
                <w:szCs w:val="21"/>
              </w:rPr>
            </w:pPr>
            <w:r>
              <w:rPr>
                <w:rFonts w:ascii="宋体" w:hAnsi="宋体" w:cs="宋体" w:hint="eastAsia"/>
                <w:szCs w:val="21"/>
              </w:rPr>
              <w:t>▲1.2.6.7联合背景校正技术：塞曼背景校正可与氘灯联用</w:t>
            </w:r>
          </w:p>
        </w:tc>
      </w:tr>
      <w:tr>
        <w:tblPrEx>
          <w:tblW w:w="5000" w:type="pct"/>
          <w:tblCellMar>
            <w:top w:w="0" w:type="dxa"/>
            <w:left w:w="108" w:type="dxa"/>
            <w:bottom w:w="0" w:type="dxa"/>
            <w:right w:w="108" w:type="dxa"/>
          </w:tblCellMar>
          <w:tblLook w:val="0000"/>
        </w:tblPrEx>
        <w:trPr>
          <w:trHeight w:val="170"/>
        </w:trPr>
        <w:tc>
          <w:tcPr>
            <w:tcW w:w="497" w:type="pct"/>
            <w:vMerge/>
            <w:vAlign w:val="center"/>
          </w:tcPr>
          <w:p>
            <w:pPr>
              <w:jc w:val="center"/>
              <w:rPr>
                <w:rFonts w:ascii="宋体" w:hAnsi="宋体" w:cs="宋体" w:hint="eastAsia"/>
                <w:szCs w:val="21"/>
              </w:rPr>
            </w:pPr>
          </w:p>
        </w:tc>
        <w:tc>
          <w:tcPr>
            <w:tcW w:w="670" w:type="pct"/>
            <w:vMerge/>
            <w:vAlign w:val="center"/>
          </w:tcPr>
          <w:p>
            <w:pPr>
              <w:jc w:val="center"/>
              <w:rPr>
                <w:rFonts w:ascii="宋体" w:hAnsi="宋体" w:cs="宋体" w:hint="eastAsia"/>
                <w:szCs w:val="21"/>
              </w:rPr>
            </w:pPr>
          </w:p>
        </w:tc>
        <w:tc>
          <w:tcPr>
            <w:tcW w:w="3832" w:type="pct"/>
          </w:tcPr>
          <w:p>
            <w:pPr>
              <w:rPr>
                <w:rFonts w:ascii="宋体" w:hAnsi="宋体" w:cs="宋体" w:hint="eastAsia"/>
                <w:szCs w:val="21"/>
              </w:rPr>
            </w:pPr>
            <w:r>
              <w:rPr>
                <w:rFonts w:ascii="宋体" w:hAnsi="宋体" w:cs="宋体" w:hint="eastAsia"/>
                <w:szCs w:val="21"/>
              </w:rPr>
              <w:t>1.2.7火焰自动进样器</w:t>
            </w:r>
          </w:p>
        </w:tc>
      </w:tr>
      <w:tr>
        <w:tblPrEx>
          <w:tblW w:w="5000" w:type="pct"/>
          <w:tblCellMar>
            <w:top w:w="0" w:type="dxa"/>
            <w:left w:w="108" w:type="dxa"/>
            <w:bottom w:w="0" w:type="dxa"/>
            <w:right w:w="108" w:type="dxa"/>
          </w:tblCellMar>
          <w:tblLook w:val="0000"/>
        </w:tblPrEx>
        <w:trPr>
          <w:trHeight w:val="170"/>
        </w:trPr>
        <w:tc>
          <w:tcPr>
            <w:tcW w:w="497" w:type="pct"/>
            <w:vMerge/>
            <w:vAlign w:val="center"/>
          </w:tcPr>
          <w:p>
            <w:pPr>
              <w:jc w:val="center"/>
              <w:rPr>
                <w:rFonts w:ascii="宋体" w:hAnsi="宋体" w:cs="宋体" w:hint="eastAsia"/>
                <w:szCs w:val="21"/>
              </w:rPr>
            </w:pPr>
          </w:p>
        </w:tc>
        <w:tc>
          <w:tcPr>
            <w:tcW w:w="670" w:type="pct"/>
            <w:vMerge/>
            <w:vAlign w:val="center"/>
          </w:tcPr>
          <w:p>
            <w:pPr>
              <w:jc w:val="center"/>
              <w:rPr>
                <w:rFonts w:ascii="宋体" w:hAnsi="宋体" w:cs="宋体" w:hint="eastAsia"/>
                <w:szCs w:val="21"/>
              </w:rPr>
            </w:pPr>
          </w:p>
        </w:tc>
        <w:tc>
          <w:tcPr>
            <w:tcW w:w="3832" w:type="pct"/>
          </w:tcPr>
          <w:p>
            <w:pPr>
              <w:rPr>
                <w:rFonts w:ascii="宋体" w:hAnsi="宋体" w:cs="宋体" w:hint="eastAsia"/>
                <w:szCs w:val="21"/>
              </w:rPr>
            </w:pPr>
            <w:r>
              <w:rPr>
                <w:rFonts w:ascii="宋体" w:hAnsi="宋体" w:cs="宋体" w:hint="eastAsia"/>
                <w:b/>
                <w:bCs/>
                <w:szCs w:val="21"/>
              </w:rPr>
              <w:t>★1.2.7.1不小于240位自动进样器</w:t>
            </w:r>
          </w:p>
        </w:tc>
      </w:tr>
      <w:tr>
        <w:tblPrEx>
          <w:tblW w:w="5000" w:type="pct"/>
          <w:tblCellMar>
            <w:top w:w="0" w:type="dxa"/>
            <w:left w:w="108" w:type="dxa"/>
            <w:bottom w:w="0" w:type="dxa"/>
            <w:right w:w="108" w:type="dxa"/>
          </w:tblCellMar>
          <w:tblLook w:val="0000"/>
        </w:tblPrEx>
        <w:trPr>
          <w:trHeight w:val="170"/>
        </w:trPr>
        <w:tc>
          <w:tcPr>
            <w:tcW w:w="497" w:type="pct"/>
            <w:vMerge/>
            <w:vAlign w:val="center"/>
          </w:tcPr>
          <w:p>
            <w:pPr>
              <w:jc w:val="center"/>
              <w:rPr>
                <w:rFonts w:ascii="宋体" w:hAnsi="宋体" w:cs="宋体" w:hint="eastAsia"/>
                <w:szCs w:val="21"/>
              </w:rPr>
            </w:pPr>
          </w:p>
        </w:tc>
        <w:tc>
          <w:tcPr>
            <w:tcW w:w="670" w:type="pct"/>
            <w:vMerge/>
            <w:vAlign w:val="center"/>
          </w:tcPr>
          <w:p>
            <w:pPr>
              <w:jc w:val="center"/>
              <w:rPr>
                <w:rFonts w:ascii="宋体" w:hAnsi="宋体" w:cs="宋体" w:hint="eastAsia"/>
                <w:szCs w:val="21"/>
              </w:rPr>
            </w:pPr>
          </w:p>
        </w:tc>
        <w:tc>
          <w:tcPr>
            <w:tcW w:w="3832" w:type="pct"/>
          </w:tcPr>
          <w:p>
            <w:pPr>
              <w:rPr>
                <w:rFonts w:ascii="宋体" w:hAnsi="宋体" w:cs="宋体" w:hint="eastAsia"/>
                <w:szCs w:val="21"/>
              </w:rPr>
            </w:pPr>
            <w:r>
              <w:rPr>
                <w:rFonts w:ascii="宋体" w:hAnsi="宋体" w:cs="宋体" w:hint="eastAsia"/>
                <w:szCs w:val="21"/>
              </w:rPr>
              <w:t>1.2.8石墨炉自动进样器</w:t>
            </w:r>
          </w:p>
        </w:tc>
      </w:tr>
      <w:tr>
        <w:tblPrEx>
          <w:tblW w:w="5000" w:type="pct"/>
          <w:tblCellMar>
            <w:top w:w="0" w:type="dxa"/>
            <w:left w:w="108" w:type="dxa"/>
            <w:bottom w:w="0" w:type="dxa"/>
            <w:right w:w="108" w:type="dxa"/>
          </w:tblCellMar>
          <w:tblLook w:val="0000"/>
        </w:tblPrEx>
        <w:trPr>
          <w:trHeight w:val="258"/>
        </w:trPr>
        <w:tc>
          <w:tcPr>
            <w:tcW w:w="497" w:type="pct"/>
            <w:vMerge/>
            <w:vAlign w:val="center"/>
          </w:tcPr>
          <w:p>
            <w:pPr>
              <w:jc w:val="center"/>
              <w:rPr>
                <w:rFonts w:ascii="宋体" w:hAnsi="宋体" w:cs="宋体" w:hint="eastAsia"/>
                <w:szCs w:val="21"/>
              </w:rPr>
            </w:pPr>
          </w:p>
        </w:tc>
        <w:tc>
          <w:tcPr>
            <w:tcW w:w="670" w:type="pct"/>
            <w:vMerge/>
            <w:vAlign w:val="center"/>
          </w:tcPr>
          <w:p>
            <w:pPr>
              <w:jc w:val="center"/>
              <w:rPr>
                <w:rFonts w:ascii="宋体" w:hAnsi="宋体" w:cs="宋体" w:hint="eastAsia"/>
                <w:szCs w:val="21"/>
              </w:rPr>
            </w:pPr>
          </w:p>
        </w:tc>
        <w:tc>
          <w:tcPr>
            <w:tcW w:w="3832" w:type="pct"/>
          </w:tcPr>
          <w:p>
            <w:pPr>
              <w:rPr>
                <w:rFonts w:ascii="宋体" w:hAnsi="宋体" w:cs="宋体" w:hint="eastAsia"/>
                <w:szCs w:val="21"/>
              </w:rPr>
            </w:pPr>
            <w:r>
              <w:rPr>
                <w:rFonts w:ascii="宋体" w:hAnsi="宋体" w:cs="宋体" w:hint="eastAsia"/>
                <w:szCs w:val="21"/>
              </w:rPr>
              <w:t>1.2.8.1样品杯个数：至少60个</w:t>
            </w:r>
          </w:p>
        </w:tc>
      </w:tr>
      <w:tr>
        <w:tblPrEx>
          <w:tblW w:w="5000" w:type="pct"/>
          <w:tblCellMar>
            <w:top w:w="0" w:type="dxa"/>
            <w:left w:w="108" w:type="dxa"/>
            <w:bottom w:w="0" w:type="dxa"/>
            <w:right w:w="108" w:type="dxa"/>
          </w:tblCellMar>
          <w:tblLook w:val="0000"/>
        </w:tblPrEx>
        <w:trPr>
          <w:trHeight w:val="170"/>
        </w:trPr>
        <w:tc>
          <w:tcPr>
            <w:tcW w:w="497" w:type="pct"/>
            <w:vMerge/>
            <w:vAlign w:val="center"/>
          </w:tcPr>
          <w:p>
            <w:pPr>
              <w:jc w:val="center"/>
              <w:rPr>
                <w:rFonts w:ascii="宋体" w:hAnsi="宋体" w:cs="宋体" w:hint="eastAsia"/>
                <w:szCs w:val="21"/>
              </w:rPr>
            </w:pPr>
          </w:p>
        </w:tc>
        <w:tc>
          <w:tcPr>
            <w:tcW w:w="670" w:type="pct"/>
            <w:vMerge/>
            <w:vAlign w:val="center"/>
          </w:tcPr>
          <w:p>
            <w:pPr>
              <w:jc w:val="center"/>
              <w:rPr>
                <w:rFonts w:ascii="宋体" w:hAnsi="宋体" w:cs="宋体" w:hint="eastAsia"/>
                <w:szCs w:val="21"/>
              </w:rPr>
            </w:pPr>
          </w:p>
        </w:tc>
        <w:tc>
          <w:tcPr>
            <w:tcW w:w="3832" w:type="pct"/>
          </w:tcPr>
          <w:p>
            <w:pPr>
              <w:rPr>
                <w:rFonts w:ascii="宋体" w:hAnsi="宋体" w:cs="宋体" w:hint="eastAsia"/>
                <w:szCs w:val="21"/>
              </w:rPr>
            </w:pPr>
            <w:r>
              <w:rPr>
                <w:rFonts w:ascii="宋体" w:hAnsi="宋体" w:cs="宋体" w:hint="eastAsia"/>
                <w:szCs w:val="21"/>
              </w:rPr>
              <w:t>▲1.2.8.2进样量：≥0.5-70μl范围，最小增量≤0.5μl</w:t>
            </w:r>
          </w:p>
        </w:tc>
      </w:tr>
      <w:tr>
        <w:tblPrEx>
          <w:tblW w:w="5000" w:type="pct"/>
          <w:tblCellMar>
            <w:top w:w="0" w:type="dxa"/>
            <w:left w:w="108" w:type="dxa"/>
            <w:bottom w:w="0" w:type="dxa"/>
            <w:right w:w="108" w:type="dxa"/>
          </w:tblCellMar>
          <w:tblLook w:val="0000"/>
        </w:tblPrEx>
        <w:trPr>
          <w:trHeight w:val="170"/>
        </w:trPr>
        <w:tc>
          <w:tcPr>
            <w:tcW w:w="497" w:type="pct"/>
            <w:vMerge/>
            <w:vAlign w:val="center"/>
          </w:tcPr>
          <w:p>
            <w:pPr>
              <w:jc w:val="center"/>
              <w:rPr>
                <w:rFonts w:ascii="宋体" w:hAnsi="宋体" w:cs="宋体" w:hint="eastAsia"/>
                <w:szCs w:val="21"/>
              </w:rPr>
            </w:pPr>
          </w:p>
        </w:tc>
        <w:tc>
          <w:tcPr>
            <w:tcW w:w="670" w:type="pct"/>
            <w:vMerge/>
            <w:vAlign w:val="center"/>
          </w:tcPr>
          <w:p>
            <w:pPr>
              <w:jc w:val="center"/>
              <w:rPr>
                <w:rFonts w:ascii="宋体" w:hAnsi="宋体" w:cs="宋体" w:hint="eastAsia"/>
                <w:szCs w:val="21"/>
              </w:rPr>
            </w:pPr>
          </w:p>
        </w:tc>
        <w:tc>
          <w:tcPr>
            <w:tcW w:w="3832" w:type="pct"/>
          </w:tcPr>
          <w:p>
            <w:pPr>
              <w:rPr>
                <w:rFonts w:ascii="宋体" w:hAnsi="宋体" w:cs="宋体" w:hint="eastAsia"/>
                <w:szCs w:val="21"/>
              </w:rPr>
            </w:pPr>
            <w:r>
              <w:rPr>
                <w:rFonts w:ascii="宋体" w:hAnsi="宋体" w:cs="宋体" w:hint="eastAsia"/>
                <w:szCs w:val="21"/>
              </w:rPr>
              <w:t>1.2.8.3进样精度≥10μl，精度优于1%</w:t>
            </w:r>
          </w:p>
        </w:tc>
      </w:tr>
      <w:tr>
        <w:tblPrEx>
          <w:tblW w:w="5000" w:type="pct"/>
          <w:tblCellMar>
            <w:top w:w="0" w:type="dxa"/>
            <w:left w:w="108" w:type="dxa"/>
            <w:bottom w:w="0" w:type="dxa"/>
            <w:right w:w="108" w:type="dxa"/>
          </w:tblCellMar>
          <w:tblLook w:val="0000"/>
        </w:tblPrEx>
        <w:trPr>
          <w:trHeight w:val="170"/>
        </w:trPr>
        <w:tc>
          <w:tcPr>
            <w:tcW w:w="497" w:type="pct"/>
            <w:vMerge/>
            <w:vAlign w:val="center"/>
          </w:tcPr>
          <w:p>
            <w:pPr>
              <w:jc w:val="center"/>
              <w:rPr>
                <w:rFonts w:ascii="宋体" w:hAnsi="宋体" w:cs="宋体" w:hint="eastAsia"/>
                <w:szCs w:val="21"/>
              </w:rPr>
            </w:pPr>
          </w:p>
        </w:tc>
        <w:tc>
          <w:tcPr>
            <w:tcW w:w="670" w:type="pct"/>
            <w:vMerge/>
            <w:vAlign w:val="center"/>
          </w:tcPr>
          <w:p>
            <w:pPr>
              <w:jc w:val="center"/>
              <w:rPr>
                <w:rFonts w:ascii="宋体" w:hAnsi="宋体" w:cs="宋体" w:hint="eastAsia"/>
                <w:szCs w:val="21"/>
              </w:rPr>
            </w:pPr>
          </w:p>
        </w:tc>
        <w:tc>
          <w:tcPr>
            <w:tcW w:w="3832" w:type="pct"/>
          </w:tcPr>
          <w:p>
            <w:pPr>
              <w:rPr>
                <w:rFonts w:ascii="宋体" w:hAnsi="宋体" w:cs="宋体" w:hint="eastAsia"/>
                <w:szCs w:val="21"/>
              </w:rPr>
            </w:pPr>
            <w:r>
              <w:rPr>
                <w:rFonts w:ascii="宋体" w:hAnsi="宋体" w:cs="宋体" w:hint="eastAsia"/>
                <w:szCs w:val="21"/>
              </w:rPr>
              <w:t>1.2.8.4样品注入速度：根据样品黏度，可调节进样速度</w:t>
            </w:r>
          </w:p>
        </w:tc>
      </w:tr>
      <w:tr>
        <w:tblPrEx>
          <w:tblW w:w="5000" w:type="pct"/>
          <w:tblCellMar>
            <w:top w:w="0" w:type="dxa"/>
            <w:left w:w="108" w:type="dxa"/>
            <w:bottom w:w="0" w:type="dxa"/>
            <w:right w:w="108" w:type="dxa"/>
          </w:tblCellMar>
          <w:tblLook w:val="0000"/>
        </w:tblPrEx>
        <w:trPr>
          <w:trHeight w:val="170"/>
        </w:trPr>
        <w:tc>
          <w:tcPr>
            <w:tcW w:w="497" w:type="pct"/>
            <w:vMerge/>
            <w:vAlign w:val="center"/>
          </w:tcPr>
          <w:p>
            <w:pPr>
              <w:jc w:val="center"/>
              <w:rPr>
                <w:rFonts w:ascii="宋体" w:hAnsi="宋体" w:cs="宋体" w:hint="eastAsia"/>
                <w:szCs w:val="21"/>
              </w:rPr>
            </w:pPr>
          </w:p>
        </w:tc>
        <w:tc>
          <w:tcPr>
            <w:tcW w:w="670" w:type="pct"/>
            <w:vMerge/>
            <w:vAlign w:val="center"/>
          </w:tcPr>
          <w:p>
            <w:pPr>
              <w:jc w:val="center"/>
              <w:rPr>
                <w:rFonts w:ascii="宋体" w:hAnsi="宋体" w:cs="宋体" w:hint="eastAsia"/>
                <w:szCs w:val="21"/>
              </w:rPr>
            </w:pPr>
          </w:p>
        </w:tc>
        <w:tc>
          <w:tcPr>
            <w:tcW w:w="3832" w:type="pct"/>
          </w:tcPr>
          <w:p>
            <w:pPr>
              <w:rPr>
                <w:rFonts w:ascii="宋体" w:hAnsi="宋体" w:cs="宋体" w:hint="eastAsia"/>
                <w:szCs w:val="21"/>
              </w:rPr>
            </w:pPr>
            <w:r>
              <w:rPr>
                <w:rFonts w:ascii="宋体" w:hAnsi="宋体" w:cs="宋体" w:hint="eastAsia"/>
                <w:szCs w:val="21"/>
              </w:rPr>
              <w:t>1.2.8.5热注射功能：200℃热注射</w:t>
            </w:r>
          </w:p>
        </w:tc>
      </w:tr>
      <w:tr>
        <w:tblPrEx>
          <w:tblW w:w="5000" w:type="pct"/>
          <w:tblCellMar>
            <w:top w:w="0" w:type="dxa"/>
            <w:left w:w="108" w:type="dxa"/>
            <w:bottom w:w="0" w:type="dxa"/>
            <w:right w:w="108" w:type="dxa"/>
          </w:tblCellMar>
          <w:tblLook w:val="0000"/>
        </w:tblPrEx>
        <w:trPr>
          <w:trHeight w:val="170"/>
        </w:trPr>
        <w:tc>
          <w:tcPr>
            <w:tcW w:w="497" w:type="pct"/>
            <w:vMerge/>
            <w:vAlign w:val="center"/>
          </w:tcPr>
          <w:p>
            <w:pPr>
              <w:jc w:val="center"/>
              <w:rPr>
                <w:rFonts w:ascii="宋体" w:hAnsi="宋体" w:cs="宋体" w:hint="eastAsia"/>
                <w:szCs w:val="21"/>
              </w:rPr>
            </w:pPr>
          </w:p>
        </w:tc>
        <w:tc>
          <w:tcPr>
            <w:tcW w:w="670" w:type="pct"/>
            <w:vMerge/>
            <w:vAlign w:val="center"/>
          </w:tcPr>
          <w:p>
            <w:pPr>
              <w:jc w:val="center"/>
              <w:rPr>
                <w:rFonts w:ascii="宋体" w:hAnsi="宋体" w:cs="宋体" w:hint="eastAsia"/>
                <w:szCs w:val="21"/>
              </w:rPr>
            </w:pPr>
          </w:p>
        </w:tc>
        <w:tc>
          <w:tcPr>
            <w:tcW w:w="3832" w:type="pct"/>
          </w:tcPr>
          <w:p>
            <w:pPr>
              <w:rPr>
                <w:rFonts w:ascii="宋体" w:hAnsi="宋体" w:cs="宋体" w:hint="eastAsia"/>
                <w:szCs w:val="21"/>
              </w:rPr>
            </w:pPr>
            <w:r>
              <w:rPr>
                <w:rFonts w:ascii="宋体" w:hAnsi="宋体" w:cs="宋体" w:hint="eastAsia"/>
                <w:szCs w:val="21"/>
              </w:rPr>
              <w:t>1.2.8.6样品浓缩和稀释功能：可自动标准曲线配置，自动进样分析，智能化样品稀释和具有样品浓缩功能</w:t>
            </w:r>
          </w:p>
        </w:tc>
      </w:tr>
      <w:tr>
        <w:tblPrEx>
          <w:tblW w:w="5000" w:type="pct"/>
          <w:tblCellMar>
            <w:top w:w="0" w:type="dxa"/>
            <w:left w:w="108" w:type="dxa"/>
            <w:bottom w:w="0" w:type="dxa"/>
            <w:right w:w="108" w:type="dxa"/>
          </w:tblCellMar>
          <w:tblLook w:val="0000"/>
        </w:tblPrEx>
        <w:trPr>
          <w:trHeight w:val="170"/>
        </w:trPr>
        <w:tc>
          <w:tcPr>
            <w:tcW w:w="497" w:type="pct"/>
            <w:vMerge/>
            <w:vAlign w:val="center"/>
          </w:tcPr>
          <w:p>
            <w:pPr>
              <w:jc w:val="center"/>
              <w:rPr>
                <w:rFonts w:ascii="宋体" w:hAnsi="宋体" w:cs="宋体" w:hint="eastAsia"/>
                <w:szCs w:val="21"/>
              </w:rPr>
            </w:pPr>
          </w:p>
        </w:tc>
        <w:tc>
          <w:tcPr>
            <w:tcW w:w="670" w:type="pct"/>
            <w:vMerge/>
            <w:vAlign w:val="center"/>
          </w:tcPr>
          <w:p>
            <w:pPr>
              <w:jc w:val="center"/>
              <w:rPr>
                <w:rFonts w:ascii="宋体" w:hAnsi="宋体" w:cs="宋体" w:hint="eastAsia"/>
                <w:szCs w:val="21"/>
              </w:rPr>
            </w:pPr>
          </w:p>
        </w:tc>
        <w:tc>
          <w:tcPr>
            <w:tcW w:w="3832" w:type="pct"/>
          </w:tcPr>
          <w:p>
            <w:pPr>
              <w:rPr>
                <w:rFonts w:ascii="宋体" w:hAnsi="宋体" w:cs="宋体" w:hint="eastAsia"/>
                <w:szCs w:val="21"/>
              </w:rPr>
            </w:pPr>
            <w:r>
              <w:rPr>
                <w:rFonts w:ascii="宋体" w:hAnsi="宋体" w:cs="宋体" w:hint="eastAsia"/>
                <w:b/>
                <w:bCs/>
                <w:szCs w:val="21"/>
              </w:rPr>
              <w:t>★1.2.8.7石墨炉可视系统：通过电脑屏幕可在线显示石墨炉进样和分析全过程，使分析人员一目了然建立分析方法和判断数据结果</w:t>
            </w:r>
          </w:p>
        </w:tc>
      </w:tr>
      <w:tr>
        <w:tblPrEx>
          <w:tblW w:w="5000" w:type="pct"/>
          <w:tblCellMar>
            <w:top w:w="0" w:type="dxa"/>
            <w:left w:w="108" w:type="dxa"/>
            <w:bottom w:w="0" w:type="dxa"/>
            <w:right w:w="108" w:type="dxa"/>
          </w:tblCellMar>
          <w:tblLook w:val="0000"/>
        </w:tblPrEx>
        <w:trPr>
          <w:trHeight w:val="170"/>
        </w:trPr>
        <w:tc>
          <w:tcPr>
            <w:tcW w:w="497" w:type="pct"/>
            <w:vMerge/>
            <w:vAlign w:val="center"/>
          </w:tcPr>
          <w:p>
            <w:pPr>
              <w:jc w:val="center"/>
              <w:rPr>
                <w:rFonts w:ascii="宋体" w:hAnsi="宋体" w:cs="宋体" w:hint="eastAsia"/>
                <w:szCs w:val="21"/>
              </w:rPr>
            </w:pPr>
          </w:p>
        </w:tc>
        <w:tc>
          <w:tcPr>
            <w:tcW w:w="670" w:type="pct"/>
            <w:vMerge/>
            <w:vAlign w:val="center"/>
          </w:tcPr>
          <w:p>
            <w:pPr>
              <w:jc w:val="center"/>
              <w:rPr>
                <w:rFonts w:ascii="宋体" w:hAnsi="宋体" w:cs="宋体" w:hint="eastAsia"/>
                <w:szCs w:val="21"/>
              </w:rPr>
            </w:pPr>
          </w:p>
        </w:tc>
        <w:tc>
          <w:tcPr>
            <w:tcW w:w="3832" w:type="pct"/>
          </w:tcPr>
          <w:p>
            <w:pPr>
              <w:rPr>
                <w:rFonts w:ascii="宋体" w:hAnsi="宋体" w:cs="宋体" w:hint="eastAsia"/>
                <w:szCs w:val="21"/>
              </w:rPr>
            </w:pPr>
            <w:r>
              <w:rPr>
                <w:rFonts w:ascii="宋体" w:hAnsi="宋体" w:cs="宋体" w:hint="eastAsia"/>
                <w:szCs w:val="21"/>
              </w:rPr>
              <w:t>1.2.9数据处理和软件</w:t>
            </w:r>
          </w:p>
        </w:tc>
      </w:tr>
      <w:tr>
        <w:tblPrEx>
          <w:tblW w:w="5000" w:type="pct"/>
          <w:tblCellMar>
            <w:top w:w="0" w:type="dxa"/>
            <w:left w:w="108" w:type="dxa"/>
            <w:bottom w:w="0" w:type="dxa"/>
            <w:right w:w="108" w:type="dxa"/>
          </w:tblCellMar>
          <w:tblLook w:val="0000"/>
        </w:tblPrEx>
        <w:trPr>
          <w:trHeight w:val="170"/>
        </w:trPr>
        <w:tc>
          <w:tcPr>
            <w:tcW w:w="497" w:type="pct"/>
            <w:vMerge/>
            <w:vAlign w:val="center"/>
          </w:tcPr>
          <w:p>
            <w:pPr>
              <w:jc w:val="center"/>
              <w:rPr>
                <w:rFonts w:ascii="宋体" w:hAnsi="宋体" w:cs="宋体" w:hint="eastAsia"/>
                <w:szCs w:val="21"/>
              </w:rPr>
            </w:pPr>
          </w:p>
        </w:tc>
        <w:tc>
          <w:tcPr>
            <w:tcW w:w="670" w:type="pct"/>
            <w:vMerge/>
            <w:vAlign w:val="center"/>
          </w:tcPr>
          <w:p>
            <w:pPr>
              <w:jc w:val="center"/>
              <w:rPr>
                <w:rFonts w:ascii="宋体" w:hAnsi="宋体" w:cs="宋体" w:hint="eastAsia"/>
                <w:szCs w:val="21"/>
              </w:rPr>
            </w:pPr>
          </w:p>
        </w:tc>
        <w:tc>
          <w:tcPr>
            <w:tcW w:w="3832" w:type="pct"/>
          </w:tcPr>
          <w:p>
            <w:pPr>
              <w:rPr>
                <w:rFonts w:ascii="宋体" w:hAnsi="宋体" w:cs="宋体" w:hint="eastAsia"/>
                <w:szCs w:val="21"/>
              </w:rPr>
            </w:pPr>
            <w:r>
              <w:rPr>
                <w:rFonts w:ascii="宋体" w:hAnsi="宋体" w:cs="宋体" w:hint="eastAsia"/>
                <w:szCs w:val="21"/>
              </w:rPr>
              <w:t>1.2.9.1积分方式：峰高、峰面积积分</w:t>
            </w:r>
          </w:p>
        </w:tc>
      </w:tr>
      <w:tr>
        <w:tblPrEx>
          <w:tblW w:w="5000" w:type="pct"/>
          <w:tblCellMar>
            <w:top w:w="0" w:type="dxa"/>
            <w:left w:w="108" w:type="dxa"/>
            <w:bottom w:w="0" w:type="dxa"/>
            <w:right w:w="108" w:type="dxa"/>
          </w:tblCellMar>
          <w:tblLook w:val="0000"/>
        </w:tblPrEx>
        <w:trPr>
          <w:trHeight w:val="170"/>
        </w:trPr>
        <w:tc>
          <w:tcPr>
            <w:tcW w:w="497" w:type="pct"/>
            <w:vMerge/>
            <w:vAlign w:val="center"/>
          </w:tcPr>
          <w:p>
            <w:pPr>
              <w:jc w:val="center"/>
              <w:rPr>
                <w:rFonts w:ascii="宋体" w:hAnsi="宋体" w:cs="宋体" w:hint="eastAsia"/>
                <w:szCs w:val="21"/>
              </w:rPr>
            </w:pPr>
          </w:p>
        </w:tc>
        <w:tc>
          <w:tcPr>
            <w:tcW w:w="670" w:type="pct"/>
            <w:vMerge/>
            <w:vAlign w:val="center"/>
          </w:tcPr>
          <w:p>
            <w:pPr>
              <w:jc w:val="center"/>
              <w:rPr>
                <w:rFonts w:ascii="宋体" w:hAnsi="宋体" w:cs="宋体" w:hint="eastAsia"/>
                <w:szCs w:val="21"/>
              </w:rPr>
            </w:pPr>
          </w:p>
        </w:tc>
        <w:tc>
          <w:tcPr>
            <w:tcW w:w="3832" w:type="pct"/>
          </w:tcPr>
          <w:p>
            <w:pPr>
              <w:rPr>
                <w:rFonts w:ascii="宋体" w:hAnsi="宋体" w:cs="宋体" w:hint="eastAsia"/>
                <w:szCs w:val="21"/>
              </w:rPr>
            </w:pPr>
            <w:r>
              <w:rPr>
                <w:rFonts w:ascii="宋体" w:hAnsi="宋体" w:cs="宋体" w:hint="eastAsia"/>
                <w:szCs w:val="21"/>
              </w:rPr>
              <w:t>1.2.9.2数据处理：改变曲线拟合方式后自动计算数据，并自动给出特征浓度</w:t>
            </w:r>
          </w:p>
        </w:tc>
      </w:tr>
      <w:tr>
        <w:tblPrEx>
          <w:tblW w:w="5000" w:type="pct"/>
          <w:tblCellMar>
            <w:top w:w="0" w:type="dxa"/>
            <w:left w:w="108" w:type="dxa"/>
            <w:bottom w:w="0" w:type="dxa"/>
            <w:right w:w="108" w:type="dxa"/>
          </w:tblCellMar>
          <w:tblLook w:val="0000"/>
        </w:tblPrEx>
        <w:trPr>
          <w:trHeight w:val="170"/>
        </w:trPr>
        <w:tc>
          <w:tcPr>
            <w:tcW w:w="497" w:type="pct"/>
            <w:vMerge/>
            <w:vAlign w:val="center"/>
          </w:tcPr>
          <w:p>
            <w:pPr>
              <w:jc w:val="center"/>
              <w:rPr>
                <w:rFonts w:ascii="宋体" w:hAnsi="宋体" w:cs="宋体" w:hint="eastAsia"/>
                <w:szCs w:val="21"/>
              </w:rPr>
            </w:pPr>
          </w:p>
        </w:tc>
        <w:tc>
          <w:tcPr>
            <w:tcW w:w="670" w:type="pct"/>
            <w:vMerge/>
            <w:vAlign w:val="center"/>
          </w:tcPr>
          <w:p>
            <w:pPr>
              <w:jc w:val="center"/>
              <w:rPr>
                <w:rFonts w:ascii="宋体" w:hAnsi="宋体" w:cs="宋体" w:hint="eastAsia"/>
                <w:szCs w:val="21"/>
              </w:rPr>
            </w:pPr>
          </w:p>
        </w:tc>
        <w:tc>
          <w:tcPr>
            <w:tcW w:w="3832" w:type="pct"/>
          </w:tcPr>
          <w:p>
            <w:pPr>
              <w:rPr>
                <w:rFonts w:ascii="宋体" w:hAnsi="宋体" w:cs="宋体" w:hint="eastAsia"/>
                <w:szCs w:val="21"/>
              </w:rPr>
            </w:pPr>
            <w:r>
              <w:rPr>
                <w:rFonts w:ascii="宋体" w:hAnsi="宋体" w:cs="宋体" w:hint="eastAsia"/>
                <w:szCs w:val="21"/>
              </w:rPr>
              <w:t>1.2.9.3软件：全中文多语言软件</w:t>
            </w:r>
          </w:p>
        </w:tc>
      </w:tr>
      <w:tr>
        <w:tblPrEx>
          <w:tblW w:w="5000" w:type="pct"/>
          <w:tblCellMar>
            <w:top w:w="0" w:type="dxa"/>
            <w:left w:w="108" w:type="dxa"/>
            <w:bottom w:w="0" w:type="dxa"/>
            <w:right w:w="108" w:type="dxa"/>
          </w:tblCellMar>
          <w:tblLook w:val="0000"/>
        </w:tblPrEx>
        <w:trPr>
          <w:trHeight w:val="170"/>
        </w:trPr>
        <w:tc>
          <w:tcPr>
            <w:tcW w:w="497" w:type="pct"/>
            <w:vMerge/>
            <w:vAlign w:val="center"/>
          </w:tcPr>
          <w:p>
            <w:pPr>
              <w:jc w:val="center"/>
              <w:rPr>
                <w:rFonts w:ascii="宋体" w:hAnsi="宋体" w:cs="宋体" w:hint="eastAsia"/>
                <w:szCs w:val="21"/>
              </w:rPr>
            </w:pPr>
          </w:p>
        </w:tc>
        <w:tc>
          <w:tcPr>
            <w:tcW w:w="670" w:type="pct"/>
            <w:vMerge/>
            <w:vAlign w:val="center"/>
          </w:tcPr>
          <w:p>
            <w:pPr>
              <w:jc w:val="center"/>
              <w:rPr>
                <w:rFonts w:ascii="宋体" w:hAnsi="宋体" w:cs="宋体" w:hint="eastAsia"/>
                <w:szCs w:val="21"/>
              </w:rPr>
            </w:pPr>
          </w:p>
        </w:tc>
        <w:tc>
          <w:tcPr>
            <w:tcW w:w="3832" w:type="pct"/>
          </w:tcPr>
          <w:p>
            <w:pPr>
              <w:rPr>
                <w:rFonts w:ascii="宋体" w:hAnsi="宋体" w:cs="宋体" w:hint="eastAsia"/>
                <w:szCs w:val="21"/>
              </w:rPr>
            </w:pPr>
            <w:r>
              <w:rPr>
                <w:rFonts w:ascii="宋体" w:hAnsi="宋体" w:cs="宋体" w:hint="eastAsia"/>
                <w:szCs w:val="21"/>
              </w:rPr>
              <w:t>1.2.10必备的附件、备件</w:t>
            </w:r>
          </w:p>
        </w:tc>
      </w:tr>
      <w:tr>
        <w:tblPrEx>
          <w:tblW w:w="5000" w:type="pct"/>
          <w:tblCellMar>
            <w:top w:w="0" w:type="dxa"/>
            <w:left w:w="108" w:type="dxa"/>
            <w:bottom w:w="0" w:type="dxa"/>
            <w:right w:w="108" w:type="dxa"/>
          </w:tblCellMar>
          <w:tblLook w:val="0000"/>
        </w:tblPrEx>
        <w:trPr>
          <w:trHeight w:val="170"/>
        </w:trPr>
        <w:tc>
          <w:tcPr>
            <w:tcW w:w="497" w:type="pct"/>
            <w:vMerge/>
            <w:vAlign w:val="center"/>
          </w:tcPr>
          <w:p>
            <w:pPr>
              <w:jc w:val="center"/>
              <w:rPr>
                <w:rFonts w:ascii="宋体" w:hAnsi="宋体" w:cs="宋体" w:hint="eastAsia"/>
                <w:szCs w:val="21"/>
              </w:rPr>
            </w:pPr>
          </w:p>
        </w:tc>
        <w:tc>
          <w:tcPr>
            <w:tcW w:w="670" w:type="pct"/>
            <w:vMerge/>
            <w:vAlign w:val="center"/>
          </w:tcPr>
          <w:p>
            <w:pPr>
              <w:jc w:val="center"/>
              <w:rPr>
                <w:rFonts w:ascii="宋体" w:hAnsi="宋体" w:cs="宋体" w:hint="eastAsia"/>
                <w:szCs w:val="21"/>
              </w:rPr>
            </w:pPr>
          </w:p>
        </w:tc>
        <w:tc>
          <w:tcPr>
            <w:tcW w:w="3832" w:type="pct"/>
          </w:tcPr>
          <w:p>
            <w:pPr>
              <w:rPr>
                <w:rFonts w:ascii="宋体" w:hAnsi="宋体" w:cs="宋体" w:hint="eastAsia"/>
                <w:szCs w:val="21"/>
              </w:rPr>
            </w:pPr>
            <w:r>
              <w:rPr>
                <w:rFonts w:ascii="宋体" w:hAnsi="宋体" w:cs="宋体" w:hint="eastAsia"/>
                <w:szCs w:val="21"/>
              </w:rPr>
              <w:t>1.2.10.1每台设备配备静音无油空气压缩机1台</w:t>
            </w:r>
          </w:p>
        </w:tc>
      </w:tr>
      <w:tr>
        <w:tblPrEx>
          <w:tblW w:w="5000" w:type="pct"/>
          <w:tblCellMar>
            <w:top w:w="0" w:type="dxa"/>
            <w:left w:w="108" w:type="dxa"/>
            <w:bottom w:w="0" w:type="dxa"/>
            <w:right w:w="108" w:type="dxa"/>
          </w:tblCellMar>
          <w:tblLook w:val="0000"/>
        </w:tblPrEx>
        <w:trPr>
          <w:trHeight w:val="170"/>
        </w:trPr>
        <w:tc>
          <w:tcPr>
            <w:tcW w:w="497" w:type="pct"/>
            <w:vMerge/>
            <w:vAlign w:val="center"/>
          </w:tcPr>
          <w:p>
            <w:pPr>
              <w:jc w:val="center"/>
              <w:rPr>
                <w:rFonts w:ascii="宋体" w:hAnsi="宋体" w:cs="宋体" w:hint="eastAsia"/>
                <w:szCs w:val="21"/>
              </w:rPr>
            </w:pPr>
          </w:p>
        </w:tc>
        <w:tc>
          <w:tcPr>
            <w:tcW w:w="670" w:type="pct"/>
            <w:vMerge/>
            <w:vAlign w:val="center"/>
          </w:tcPr>
          <w:p>
            <w:pPr>
              <w:jc w:val="center"/>
              <w:rPr>
                <w:rFonts w:ascii="宋体" w:hAnsi="宋体" w:cs="宋体" w:hint="eastAsia"/>
                <w:szCs w:val="21"/>
              </w:rPr>
            </w:pPr>
          </w:p>
        </w:tc>
        <w:tc>
          <w:tcPr>
            <w:tcW w:w="3832" w:type="pct"/>
          </w:tcPr>
          <w:p>
            <w:pPr>
              <w:rPr>
                <w:rFonts w:ascii="宋体" w:hAnsi="宋体" w:cs="宋体" w:hint="eastAsia"/>
                <w:szCs w:val="21"/>
              </w:rPr>
            </w:pPr>
            <w:r>
              <w:rPr>
                <w:rFonts w:ascii="宋体" w:hAnsi="宋体" w:cs="宋体" w:hint="eastAsia"/>
                <w:szCs w:val="21"/>
              </w:rPr>
              <w:t>1.2.10.2每台设备配备冷却循环水系统1台</w:t>
            </w:r>
          </w:p>
        </w:tc>
      </w:tr>
      <w:tr>
        <w:tblPrEx>
          <w:tblW w:w="5000" w:type="pct"/>
          <w:tblCellMar>
            <w:top w:w="0" w:type="dxa"/>
            <w:left w:w="108" w:type="dxa"/>
            <w:bottom w:w="0" w:type="dxa"/>
            <w:right w:w="108" w:type="dxa"/>
          </w:tblCellMar>
          <w:tblLook w:val="0000"/>
        </w:tblPrEx>
        <w:trPr>
          <w:trHeight w:val="170"/>
        </w:trPr>
        <w:tc>
          <w:tcPr>
            <w:tcW w:w="497" w:type="pct"/>
            <w:vMerge/>
            <w:vAlign w:val="center"/>
          </w:tcPr>
          <w:p>
            <w:pPr>
              <w:jc w:val="center"/>
              <w:rPr>
                <w:rFonts w:ascii="宋体" w:hAnsi="宋体" w:cs="宋体" w:hint="eastAsia"/>
                <w:szCs w:val="21"/>
              </w:rPr>
            </w:pPr>
          </w:p>
        </w:tc>
        <w:tc>
          <w:tcPr>
            <w:tcW w:w="670" w:type="pct"/>
            <w:vMerge/>
            <w:vAlign w:val="center"/>
          </w:tcPr>
          <w:p>
            <w:pPr>
              <w:jc w:val="center"/>
              <w:rPr>
                <w:rFonts w:ascii="宋体" w:hAnsi="宋体" w:cs="宋体" w:hint="eastAsia"/>
                <w:szCs w:val="21"/>
              </w:rPr>
            </w:pPr>
          </w:p>
        </w:tc>
        <w:tc>
          <w:tcPr>
            <w:tcW w:w="3832" w:type="pct"/>
          </w:tcPr>
          <w:p>
            <w:pPr>
              <w:rPr>
                <w:rFonts w:ascii="宋体" w:hAnsi="宋体" w:cs="宋体" w:hint="eastAsia"/>
                <w:szCs w:val="21"/>
              </w:rPr>
            </w:pPr>
            <w:r>
              <w:rPr>
                <w:rFonts w:ascii="宋体" w:hAnsi="宋体" w:cs="宋体" w:hint="eastAsia"/>
                <w:szCs w:val="21"/>
              </w:rPr>
              <w:t>1.2.10.3每台设备配备数据处理系统1套</w:t>
            </w:r>
          </w:p>
        </w:tc>
      </w:tr>
      <w:tr>
        <w:tblPrEx>
          <w:tblW w:w="5000" w:type="pct"/>
          <w:tblCellMar>
            <w:top w:w="0" w:type="dxa"/>
            <w:left w:w="108" w:type="dxa"/>
            <w:bottom w:w="0" w:type="dxa"/>
            <w:right w:w="108" w:type="dxa"/>
          </w:tblCellMar>
          <w:tblLook w:val="0000"/>
        </w:tblPrEx>
        <w:trPr>
          <w:trHeight w:val="170"/>
        </w:trPr>
        <w:tc>
          <w:tcPr>
            <w:tcW w:w="497" w:type="pct"/>
            <w:vMerge/>
            <w:vAlign w:val="center"/>
          </w:tcPr>
          <w:p>
            <w:pPr>
              <w:jc w:val="center"/>
              <w:rPr>
                <w:rFonts w:ascii="宋体" w:hAnsi="宋体" w:cs="宋体" w:hint="eastAsia"/>
                <w:szCs w:val="21"/>
              </w:rPr>
            </w:pPr>
          </w:p>
        </w:tc>
        <w:tc>
          <w:tcPr>
            <w:tcW w:w="670" w:type="pct"/>
            <w:vMerge/>
            <w:vAlign w:val="center"/>
          </w:tcPr>
          <w:p>
            <w:pPr>
              <w:jc w:val="center"/>
              <w:rPr>
                <w:rFonts w:ascii="宋体" w:hAnsi="宋体" w:cs="宋体" w:hint="eastAsia"/>
                <w:szCs w:val="21"/>
              </w:rPr>
            </w:pPr>
          </w:p>
        </w:tc>
        <w:tc>
          <w:tcPr>
            <w:tcW w:w="3832" w:type="pct"/>
          </w:tcPr>
          <w:p>
            <w:pPr>
              <w:rPr>
                <w:rFonts w:ascii="宋体" w:hAnsi="宋体" w:cs="宋体" w:hint="eastAsia"/>
                <w:szCs w:val="21"/>
              </w:rPr>
            </w:pPr>
            <w:r>
              <w:rPr>
                <w:rFonts w:ascii="宋体" w:hAnsi="宋体" w:cs="宋体" w:hint="eastAsia"/>
                <w:szCs w:val="21"/>
              </w:rPr>
              <w:t>1.2.10.4每台设备配备同品牌编码空心阴极灯9个</w:t>
            </w:r>
          </w:p>
        </w:tc>
      </w:tr>
      <w:tr>
        <w:tblPrEx>
          <w:tblW w:w="5000" w:type="pct"/>
          <w:tblCellMar>
            <w:top w:w="0" w:type="dxa"/>
            <w:left w:w="108" w:type="dxa"/>
            <w:bottom w:w="0" w:type="dxa"/>
            <w:right w:w="108" w:type="dxa"/>
          </w:tblCellMar>
          <w:tblLook w:val="0000"/>
        </w:tblPrEx>
        <w:trPr>
          <w:trHeight w:val="170"/>
        </w:trPr>
        <w:tc>
          <w:tcPr>
            <w:tcW w:w="497" w:type="pct"/>
            <w:vMerge/>
            <w:vAlign w:val="center"/>
          </w:tcPr>
          <w:p>
            <w:pPr>
              <w:jc w:val="center"/>
              <w:rPr>
                <w:rFonts w:ascii="宋体" w:hAnsi="宋体" w:cs="宋体" w:hint="eastAsia"/>
                <w:szCs w:val="21"/>
              </w:rPr>
            </w:pPr>
          </w:p>
        </w:tc>
        <w:tc>
          <w:tcPr>
            <w:tcW w:w="670" w:type="pct"/>
            <w:vMerge/>
            <w:vAlign w:val="center"/>
          </w:tcPr>
          <w:p>
            <w:pPr>
              <w:jc w:val="center"/>
              <w:rPr>
                <w:rFonts w:ascii="宋体" w:hAnsi="宋体" w:cs="宋体" w:hint="eastAsia"/>
                <w:szCs w:val="21"/>
              </w:rPr>
            </w:pPr>
          </w:p>
        </w:tc>
        <w:tc>
          <w:tcPr>
            <w:tcW w:w="3832" w:type="pct"/>
          </w:tcPr>
          <w:p>
            <w:pPr>
              <w:rPr>
                <w:rFonts w:ascii="宋体" w:hAnsi="宋体" w:cs="宋体" w:hint="eastAsia"/>
                <w:szCs w:val="21"/>
              </w:rPr>
            </w:pPr>
            <w:r>
              <w:rPr>
                <w:rFonts w:ascii="宋体" w:hAnsi="宋体" w:cs="宋体" w:hint="eastAsia"/>
                <w:b/>
                <w:bCs/>
                <w:szCs w:val="21"/>
              </w:rPr>
              <w:t>★1.2.10.5每台设备配备同品牌长寿命石墨管至少50根（长寿命2800℃下可使用2000次以上）</w:t>
            </w:r>
          </w:p>
        </w:tc>
      </w:tr>
      <w:tr>
        <w:tblPrEx>
          <w:tblW w:w="5000" w:type="pct"/>
          <w:tblCellMar>
            <w:top w:w="0" w:type="dxa"/>
            <w:left w:w="108" w:type="dxa"/>
            <w:bottom w:w="0" w:type="dxa"/>
            <w:right w:w="108" w:type="dxa"/>
          </w:tblCellMar>
          <w:tblLook w:val="0000"/>
        </w:tblPrEx>
        <w:trPr>
          <w:trHeight w:val="170"/>
        </w:trPr>
        <w:tc>
          <w:tcPr>
            <w:tcW w:w="497" w:type="pct"/>
            <w:vMerge/>
            <w:vAlign w:val="center"/>
          </w:tcPr>
          <w:p>
            <w:pPr>
              <w:jc w:val="center"/>
              <w:rPr>
                <w:rFonts w:ascii="宋体" w:hAnsi="宋体" w:cs="宋体" w:hint="eastAsia"/>
                <w:szCs w:val="21"/>
              </w:rPr>
            </w:pPr>
          </w:p>
        </w:tc>
        <w:tc>
          <w:tcPr>
            <w:tcW w:w="670" w:type="pct"/>
            <w:vMerge/>
            <w:vAlign w:val="center"/>
          </w:tcPr>
          <w:p>
            <w:pPr>
              <w:jc w:val="center"/>
              <w:rPr>
                <w:rFonts w:ascii="宋体" w:hAnsi="宋体" w:cs="宋体" w:hint="eastAsia"/>
                <w:szCs w:val="21"/>
              </w:rPr>
            </w:pPr>
          </w:p>
        </w:tc>
        <w:tc>
          <w:tcPr>
            <w:tcW w:w="3832" w:type="pct"/>
          </w:tcPr>
          <w:p>
            <w:pPr>
              <w:rPr>
                <w:rFonts w:ascii="宋体" w:hAnsi="宋体" w:cs="宋体" w:hint="eastAsia"/>
                <w:szCs w:val="21"/>
              </w:rPr>
            </w:pPr>
            <w:r>
              <w:rPr>
                <w:rFonts w:ascii="宋体" w:hAnsi="宋体" w:cs="宋体" w:hint="eastAsia"/>
                <w:szCs w:val="21"/>
              </w:rPr>
              <w:t>1.2.10.6除主机自带1套外，每台设备额外配备雾化器及O型圈至少2套</w:t>
            </w:r>
          </w:p>
        </w:tc>
      </w:tr>
      <w:tr>
        <w:tblPrEx>
          <w:tblW w:w="5000" w:type="pct"/>
          <w:tblCellMar>
            <w:top w:w="0" w:type="dxa"/>
            <w:left w:w="108" w:type="dxa"/>
            <w:bottom w:w="0" w:type="dxa"/>
            <w:right w:w="108" w:type="dxa"/>
          </w:tblCellMar>
          <w:tblLook w:val="0000"/>
        </w:tblPrEx>
        <w:trPr>
          <w:trHeight w:val="170"/>
        </w:trPr>
        <w:tc>
          <w:tcPr>
            <w:tcW w:w="497" w:type="pct"/>
            <w:vMerge/>
            <w:vAlign w:val="center"/>
          </w:tcPr>
          <w:p>
            <w:pPr>
              <w:jc w:val="center"/>
              <w:rPr>
                <w:rFonts w:ascii="宋体" w:hAnsi="宋体" w:cs="宋体" w:hint="eastAsia"/>
                <w:szCs w:val="21"/>
              </w:rPr>
            </w:pPr>
          </w:p>
        </w:tc>
        <w:tc>
          <w:tcPr>
            <w:tcW w:w="670" w:type="pct"/>
            <w:vMerge/>
            <w:vAlign w:val="center"/>
          </w:tcPr>
          <w:p>
            <w:pPr>
              <w:jc w:val="center"/>
              <w:rPr>
                <w:rFonts w:ascii="宋体" w:hAnsi="宋体" w:cs="宋体" w:hint="eastAsia"/>
                <w:szCs w:val="21"/>
              </w:rPr>
            </w:pPr>
          </w:p>
        </w:tc>
        <w:tc>
          <w:tcPr>
            <w:tcW w:w="3832" w:type="pct"/>
          </w:tcPr>
          <w:p>
            <w:pPr>
              <w:rPr>
                <w:rFonts w:ascii="宋体" w:hAnsi="宋体" w:cs="宋体" w:hint="eastAsia"/>
                <w:szCs w:val="21"/>
              </w:rPr>
            </w:pPr>
            <w:r>
              <w:rPr>
                <w:rFonts w:ascii="宋体" w:hAnsi="宋体" w:cs="宋体" w:hint="eastAsia"/>
                <w:szCs w:val="21"/>
              </w:rPr>
              <w:t>1.2.10.7每台设备配备不少于240位火焰自动进样器1套</w:t>
            </w:r>
          </w:p>
        </w:tc>
      </w:tr>
      <w:tr>
        <w:tblPrEx>
          <w:tblW w:w="5000" w:type="pct"/>
          <w:tblCellMar>
            <w:top w:w="0" w:type="dxa"/>
            <w:left w:w="108" w:type="dxa"/>
            <w:bottom w:w="0" w:type="dxa"/>
            <w:right w:w="108" w:type="dxa"/>
          </w:tblCellMar>
          <w:tblLook w:val="0000"/>
        </w:tblPrEx>
        <w:trPr>
          <w:trHeight w:val="170"/>
        </w:trPr>
        <w:tc>
          <w:tcPr>
            <w:tcW w:w="497" w:type="pct"/>
            <w:vMerge/>
            <w:vAlign w:val="center"/>
          </w:tcPr>
          <w:p>
            <w:pPr>
              <w:jc w:val="center"/>
              <w:rPr>
                <w:rFonts w:ascii="宋体" w:hAnsi="宋体" w:cs="宋体" w:hint="eastAsia"/>
                <w:szCs w:val="21"/>
              </w:rPr>
            </w:pPr>
          </w:p>
        </w:tc>
        <w:tc>
          <w:tcPr>
            <w:tcW w:w="670" w:type="pct"/>
            <w:vMerge/>
            <w:vAlign w:val="center"/>
          </w:tcPr>
          <w:p>
            <w:pPr>
              <w:jc w:val="center"/>
              <w:rPr>
                <w:rFonts w:ascii="宋体" w:hAnsi="宋体" w:cs="宋体" w:hint="eastAsia"/>
                <w:szCs w:val="21"/>
              </w:rPr>
            </w:pPr>
          </w:p>
        </w:tc>
        <w:tc>
          <w:tcPr>
            <w:tcW w:w="3832" w:type="pct"/>
          </w:tcPr>
          <w:p>
            <w:pPr>
              <w:rPr>
                <w:rFonts w:ascii="宋体" w:hAnsi="宋体" w:cs="宋体" w:hint="eastAsia"/>
                <w:szCs w:val="21"/>
              </w:rPr>
            </w:pPr>
            <w:r>
              <w:rPr>
                <w:rFonts w:ascii="宋体" w:hAnsi="宋体" w:cs="宋体" w:hint="eastAsia"/>
                <w:szCs w:val="21"/>
              </w:rPr>
              <w:t>1.2.10.8每台设备配备不少于60位石墨炉自动进样器1套</w:t>
            </w:r>
          </w:p>
        </w:tc>
      </w:tr>
    </w:tbl>
    <w:p>
      <w:pPr>
        <w:pStyle w:val="BodyText"/>
        <w:rPr>
          <w:rFonts w:hint="eastAsia"/>
        </w:rPr>
      </w:pPr>
      <w:bookmarkEnd w:id="30"/>
    </w:p>
    <w:p>
      <w:pPr>
        <w:pStyle w:val="BodyText"/>
        <w:rPr>
          <w:rFonts w:ascii="宋体" w:hAnsi="宋体" w:cs="宋体" w:hint="eastAsia"/>
        </w:rPr>
      </w:pPr>
    </w:p>
    <w:p>
      <w:pPr>
        <w:pStyle w:val="Heading3"/>
        <w:spacing w:before="120" w:beforeLines="50" w:after="120" w:afterLines="50"/>
        <w:jc w:val="left"/>
        <w:rPr>
          <w:rFonts w:cs="宋体" w:hint="eastAsia"/>
        </w:rPr>
      </w:pPr>
      <w:bookmarkEnd w:id="28"/>
      <w:r>
        <w:rPr>
          <w:rFonts w:cs="宋体" w:hint="eastAsia"/>
          <w:szCs w:val="21"/>
        </w:rPr>
        <w:br w:type="page"/>
      </w:r>
      <w:r>
        <w:rPr>
          <w:rFonts w:cs="宋体" w:hint="eastAsia"/>
          <w:sz w:val="21"/>
          <w:szCs w:val="21"/>
        </w:rPr>
        <w:t>四、商务条款</w:t>
      </w:r>
    </w:p>
    <w:p>
      <w:pPr>
        <w:widowControl/>
        <w:ind w:firstLine="480" w:firstLineChars="200"/>
        <w:jc w:val="left"/>
        <w:rPr>
          <w:rFonts w:ascii="宋体" w:hAnsi="宋体" w:cs="宋体" w:hint="eastAsia"/>
          <w:kern w:val="0"/>
          <w:szCs w:val="21"/>
        </w:rPr>
      </w:pPr>
      <w:r>
        <w:rPr>
          <w:rFonts w:ascii="宋体" w:hAnsi="宋体" w:cs="宋体" w:hint="eastAsia"/>
          <w:b/>
          <w:bCs/>
          <w:kern w:val="0"/>
          <w:szCs w:val="21"/>
        </w:rPr>
        <w:t>(备注：技术和商务要求中，带“★”指标项为关键参数，如出现负偏离，将被视为未实质性满足招标文件要求作投标无效处理。带“▲”指标项为重要参数，负偏离时依相关评分准则内容作重点扣分处理</w:t>
      </w:r>
      <w:r>
        <w:rPr>
          <w:rFonts w:ascii="宋体" w:hAnsi="宋体" w:cs="宋体" w:hint="eastAsia"/>
          <w:kern w:val="0"/>
          <w:szCs w:val="21"/>
        </w:rPr>
        <w:t>。</w:t>
      </w:r>
      <w:r>
        <w:rPr>
          <w:rFonts w:ascii="宋体" w:hAnsi="宋体" w:cs="宋体" w:hint="eastAsia"/>
          <w:b/>
          <w:bCs/>
          <w:kern w:val="0"/>
          <w:szCs w:val="21"/>
        </w:rPr>
        <w:t>)</w:t>
      </w:r>
    </w:p>
    <w:tbl>
      <w:tblPr>
        <w:tblStyle w:val="TableNormal"/>
        <w:tblW w:w="499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Look w:val="0000"/>
      </w:tblPr>
      <w:tblGrid>
        <w:gridCol w:w="841"/>
        <w:gridCol w:w="1212"/>
        <w:gridCol w:w="6473"/>
      </w:tblGrid>
      <w:tr>
        <w:tblPrEx>
          <w:tblW w:w="499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Look w:val="0000"/>
        </w:tblPrEx>
        <w:trPr>
          <w:trHeight w:val="397"/>
        </w:trPr>
        <w:tc>
          <w:tcPr>
            <w:tcW w:w="493" w:type="pct"/>
            <w:tcBorders>
              <w:top w:val="single" w:sz="4" w:space="0" w:color="auto"/>
              <w:left w:val="single" w:sz="4" w:space="0" w:color="auto"/>
              <w:bottom w:val="single" w:sz="4" w:space="0" w:color="auto"/>
              <w:right w:val="single" w:sz="4" w:space="0" w:color="auto"/>
            </w:tcBorders>
            <w:vAlign w:val="center"/>
          </w:tcPr>
          <w:p>
            <w:pPr>
              <w:jc w:val="center"/>
              <w:rPr>
                <w:rFonts w:ascii="宋体" w:hAnsi="宋体" w:cs="宋体" w:hint="eastAsia"/>
                <w:b/>
                <w:szCs w:val="21"/>
              </w:rPr>
            </w:pPr>
            <w:r>
              <w:rPr>
                <w:rFonts w:ascii="宋体" w:hAnsi="宋体" w:cs="宋体" w:hint="eastAsia"/>
                <w:b/>
                <w:szCs w:val="21"/>
              </w:rPr>
              <w:t>序号</w:t>
            </w:r>
          </w:p>
        </w:tc>
        <w:tc>
          <w:tcPr>
            <w:tcW w:w="711" w:type="pct"/>
            <w:tcBorders>
              <w:top w:val="single" w:sz="4" w:space="0" w:color="auto"/>
              <w:left w:val="single" w:sz="4" w:space="0" w:color="auto"/>
              <w:bottom w:val="single" w:sz="4" w:space="0" w:color="auto"/>
              <w:right w:val="single" w:sz="4" w:space="0" w:color="auto"/>
            </w:tcBorders>
            <w:vAlign w:val="center"/>
          </w:tcPr>
          <w:p>
            <w:pPr>
              <w:jc w:val="center"/>
              <w:rPr>
                <w:rFonts w:ascii="宋体" w:hAnsi="宋体" w:cs="宋体" w:hint="eastAsia"/>
                <w:b/>
                <w:szCs w:val="21"/>
              </w:rPr>
            </w:pPr>
            <w:r>
              <w:rPr>
                <w:rFonts w:ascii="宋体" w:hAnsi="宋体" w:cs="宋体" w:hint="eastAsia"/>
                <w:b/>
                <w:szCs w:val="21"/>
              </w:rPr>
              <w:t>目录</w:t>
            </w:r>
          </w:p>
        </w:tc>
        <w:tc>
          <w:tcPr>
            <w:tcW w:w="3794" w:type="pct"/>
            <w:tcBorders>
              <w:top w:val="single" w:sz="4" w:space="0" w:color="auto"/>
              <w:left w:val="single" w:sz="4" w:space="0" w:color="auto"/>
              <w:bottom w:val="single" w:sz="4" w:space="0" w:color="auto"/>
              <w:right w:val="single" w:sz="4" w:space="0" w:color="auto"/>
            </w:tcBorders>
            <w:vAlign w:val="center"/>
          </w:tcPr>
          <w:p>
            <w:pPr>
              <w:jc w:val="center"/>
              <w:rPr>
                <w:rFonts w:ascii="宋体" w:hAnsi="宋体" w:cs="宋体" w:hint="eastAsia"/>
                <w:b/>
                <w:szCs w:val="21"/>
              </w:rPr>
            </w:pPr>
            <w:r>
              <w:rPr>
                <w:rFonts w:ascii="宋体" w:hAnsi="宋体" w:cs="宋体" w:hint="eastAsia"/>
                <w:b/>
                <w:szCs w:val="21"/>
              </w:rPr>
              <w:t>招标商务需求</w:t>
            </w:r>
          </w:p>
        </w:tc>
      </w:tr>
      <w:tr>
        <w:tblPrEx>
          <w:tblW w:w="4998" w:type="pct"/>
          <w:tblCellMar>
            <w:top w:w="0" w:type="dxa"/>
            <w:left w:w="108" w:type="dxa"/>
            <w:bottom w:w="0" w:type="dxa"/>
            <w:right w:w="108" w:type="dxa"/>
          </w:tblCellMar>
          <w:tblLook w:val="0000"/>
        </w:tblPrEx>
        <w:trPr>
          <w:trHeight w:val="280"/>
        </w:trPr>
        <w:tc>
          <w:tcPr>
            <w:tcW w:w="5000" w:type="pct"/>
            <w:gridSpan w:val="3"/>
            <w:tcBorders>
              <w:top w:val="single" w:sz="4" w:space="0" w:color="auto"/>
              <w:left w:val="single" w:sz="4" w:space="0" w:color="auto"/>
              <w:bottom w:val="single" w:sz="4" w:space="0" w:color="auto"/>
              <w:right w:val="single" w:sz="4" w:space="0" w:color="auto"/>
            </w:tcBorders>
          </w:tcPr>
          <w:p>
            <w:pPr>
              <w:rPr>
                <w:rFonts w:ascii="宋体" w:hAnsi="宋体" w:cs="宋体" w:hint="eastAsia"/>
                <w:b/>
                <w:szCs w:val="21"/>
              </w:rPr>
            </w:pPr>
            <w:r>
              <w:rPr>
                <w:rFonts w:ascii="宋体" w:hAnsi="宋体" w:cs="宋体" w:hint="eastAsia"/>
                <w:b/>
                <w:szCs w:val="21"/>
              </w:rPr>
              <w:t>（一）免费保修期内售后服务要求</w:t>
            </w:r>
          </w:p>
        </w:tc>
      </w:tr>
      <w:tr>
        <w:tblPrEx>
          <w:tblW w:w="4998" w:type="pct"/>
          <w:tblCellMar>
            <w:top w:w="0" w:type="dxa"/>
            <w:left w:w="108" w:type="dxa"/>
            <w:bottom w:w="0" w:type="dxa"/>
            <w:right w:w="108" w:type="dxa"/>
          </w:tblCellMar>
          <w:tblLook w:val="0000"/>
        </w:tblPrEx>
        <w:trPr>
          <w:trHeight w:val="150"/>
        </w:trPr>
        <w:tc>
          <w:tcPr>
            <w:tcW w:w="493" w:type="pct"/>
            <w:tcBorders>
              <w:top w:val="single" w:sz="4" w:space="0" w:color="auto"/>
              <w:left w:val="single" w:sz="4" w:space="0" w:color="auto"/>
              <w:bottom w:val="single" w:sz="4" w:space="0" w:color="auto"/>
              <w:right w:val="single" w:sz="4" w:space="0" w:color="auto"/>
            </w:tcBorders>
            <w:vAlign w:val="center"/>
          </w:tcPr>
          <w:p>
            <w:pPr>
              <w:jc w:val="center"/>
              <w:rPr>
                <w:rFonts w:ascii="宋体" w:hAnsi="宋体" w:cs="宋体" w:hint="eastAsia"/>
                <w:b/>
                <w:szCs w:val="21"/>
              </w:rPr>
            </w:pPr>
            <w:r>
              <w:rPr>
                <w:rFonts w:ascii="宋体" w:hAnsi="宋体" w:cs="宋体" w:hint="eastAsia"/>
                <w:b/>
                <w:szCs w:val="21"/>
              </w:rPr>
              <w:t>1</w:t>
            </w:r>
          </w:p>
        </w:tc>
        <w:tc>
          <w:tcPr>
            <w:tcW w:w="711" w:type="pct"/>
            <w:tcBorders>
              <w:top w:val="single" w:sz="4" w:space="0" w:color="auto"/>
              <w:left w:val="single" w:sz="4" w:space="0" w:color="auto"/>
              <w:bottom w:val="single" w:sz="4" w:space="0" w:color="auto"/>
              <w:right w:val="single" w:sz="4" w:space="0" w:color="auto"/>
            </w:tcBorders>
            <w:vAlign w:val="center"/>
          </w:tcPr>
          <w:p>
            <w:pPr>
              <w:rPr>
                <w:rFonts w:ascii="宋体" w:hAnsi="宋体" w:cs="宋体" w:hint="eastAsia"/>
                <w:szCs w:val="21"/>
              </w:rPr>
            </w:pPr>
            <w:r>
              <w:rPr>
                <w:rFonts w:ascii="宋体" w:hAnsi="宋体" w:cs="宋体" w:hint="eastAsia"/>
                <w:szCs w:val="21"/>
              </w:rPr>
              <w:t>关于免费保修期</w:t>
            </w:r>
          </w:p>
        </w:tc>
        <w:tc>
          <w:tcPr>
            <w:tcW w:w="3794" w:type="pct"/>
            <w:tcBorders>
              <w:top w:val="single" w:sz="4" w:space="0" w:color="auto"/>
              <w:left w:val="single" w:sz="4" w:space="0" w:color="auto"/>
              <w:bottom w:val="single" w:sz="4" w:space="0" w:color="auto"/>
              <w:right w:val="single" w:sz="4" w:space="0" w:color="auto"/>
            </w:tcBorders>
          </w:tcPr>
          <w:p>
            <w:pPr>
              <w:spacing w:line="460" w:lineRule="exact"/>
              <w:ind w:firstLine="480" w:firstLineChars="200"/>
              <w:rPr>
                <w:rFonts w:ascii="宋体" w:hAnsi="宋体" w:cs="宋体" w:hint="eastAsia"/>
                <w:b/>
                <w:szCs w:val="21"/>
              </w:rPr>
            </w:pPr>
            <w:r>
              <w:rPr>
                <w:rFonts w:ascii="宋体" w:hAnsi="宋体" w:cs="宋体" w:hint="eastAsia"/>
                <w:b/>
                <w:szCs w:val="21"/>
              </w:rPr>
              <w:t>★产品全部验收合格后（以技术验收合格签字为标准），中标人向采购人免费提供</w:t>
            </w:r>
            <w:r>
              <w:rPr>
                <w:rFonts w:ascii="宋体" w:hAnsi="宋体" w:cs="宋体" w:hint="eastAsia"/>
                <w:b/>
                <w:szCs w:val="21"/>
                <w:u w:val="single"/>
              </w:rPr>
              <w:t>3</w:t>
            </w:r>
            <w:r>
              <w:rPr>
                <w:rFonts w:ascii="宋体" w:hAnsi="宋体" w:cs="宋体" w:hint="eastAsia"/>
                <w:b/>
                <w:szCs w:val="21"/>
              </w:rPr>
              <w:t>年上门保修服务、</w:t>
            </w:r>
            <w:r>
              <w:rPr>
                <w:rFonts w:ascii="宋体" w:hAnsi="宋体" w:cs="宋体" w:hint="eastAsia"/>
                <w:b/>
                <w:szCs w:val="21"/>
                <w:u w:val="single"/>
              </w:rPr>
              <w:t>终身</w:t>
            </w:r>
            <w:r>
              <w:rPr>
                <w:rFonts w:ascii="宋体" w:hAnsi="宋体" w:cs="宋体" w:hint="eastAsia"/>
                <w:b/>
                <w:szCs w:val="21"/>
              </w:rPr>
              <w:t>免费升级服务（免费升级服务适用于软件产品），质保期为</w:t>
            </w:r>
            <w:r>
              <w:rPr>
                <w:rFonts w:ascii="宋体" w:hAnsi="宋体" w:cs="宋体" w:hint="eastAsia"/>
                <w:b/>
                <w:szCs w:val="21"/>
                <w:u w:val="single"/>
              </w:rPr>
              <w:t xml:space="preserve">   </w:t>
            </w:r>
            <w:r>
              <w:rPr>
                <w:rFonts w:ascii="宋体" w:hAnsi="宋体" w:cs="宋体" w:hint="eastAsia"/>
                <w:b/>
                <w:szCs w:val="21"/>
              </w:rPr>
              <w:t>3</w:t>
            </w:r>
            <w:r>
              <w:rPr>
                <w:rFonts w:ascii="宋体" w:hAnsi="宋体" w:cs="宋体" w:hint="eastAsia"/>
                <w:b/>
                <w:szCs w:val="21"/>
                <w:u w:val="single"/>
              </w:rPr>
              <w:t xml:space="preserve">   </w:t>
            </w:r>
            <w:r>
              <w:rPr>
                <w:rFonts w:ascii="宋体" w:hAnsi="宋体" w:cs="宋体" w:hint="eastAsia"/>
                <w:b/>
                <w:szCs w:val="21"/>
              </w:rPr>
              <w:t>年。</w:t>
            </w:r>
          </w:p>
          <w:p>
            <w:pPr>
              <w:spacing w:line="460" w:lineRule="exact"/>
              <w:ind w:firstLine="480" w:firstLineChars="200"/>
              <w:rPr>
                <w:rFonts w:ascii="宋体" w:hAnsi="宋体" w:cs="宋体" w:hint="eastAsia"/>
                <w:b/>
                <w:szCs w:val="21"/>
              </w:rPr>
            </w:pPr>
            <w:r>
              <w:rPr>
                <w:rFonts w:ascii="宋体" w:hAnsi="宋体" w:cs="宋体" w:hint="eastAsia"/>
                <w:b/>
                <w:szCs w:val="21"/>
              </w:rPr>
              <w:t>质保期内，如因质量问题而引起产品损坏，中标人应对产品予以维修或更换，全部服务费和更换产品或配件的费用由中标人承担；中标人如不能修理或不能调换，按产品原价赔偿处理。保修期满后，中标人必须继续支持维修，并按成本价标准收取维修及零件费用。</w:t>
            </w:r>
          </w:p>
          <w:p>
            <w:pPr>
              <w:spacing w:line="460" w:lineRule="exact"/>
              <w:ind w:firstLine="470" w:firstLineChars="196"/>
              <w:rPr>
                <w:rFonts w:ascii="宋体" w:hAnsi="宋体" w:cs="宋体" w:hint="eastAsia"/>
                <w:b/>
                <w:bCs/>
                <w:szCs w:val="21"/>
              </w:rPr>
            </w:pPr>
            <w:r>
              <w:rPr>
                <w:rFonts w:ascii="宋体" w:hAnsi="宋体" w:cs="宋体" w:hint="eastAsia"/>
                <w:b/>
                <w:szCs w:val="21"/>
              </w:rPr>
              <w:t>保修期内，中标人应定期对产品进行免费维护保养，维修或更换零配件。保修期满后，中标人必须继续支持维修，并按成本价标准收取维修及零件费用。在整个产品运行过程中，中标人帮助采购人解决在应用过程中遇到的各种技术问题。</w:t>
            </w:r>
          </w:p>
        </w:tc>
      </w:tr>
      <w:tr>
        <w:tblPrEx>
          <w:tblW w:w="4998" w:type="pct"/>
          <w:tblCellMar>
            <w:top w:w="0" w:type="dxa"/>
            <w:left w:w="108" w:type="dxa"/>
            <w:bottom w:w="0" w:type="dxa"/>
            <w:right w:w="108" w:type="dxa"/>
          </w:tblCellMar>
          <w:tblLook w:val="0000"/>
        </w:tblPrEx>
        <w:trPr>
          <w:trHeight w:val="320"/>
        </w:trPr>
        <w:tc>
          <w:tcPr>
            <w:tcW w:w="493" w:type="pct"/>
            <w:tcBorders>
              <w:top w:val="single" w:sz="4" w:space="0" w:color="auto"/>
              <w:left w:val="single" w:sz="4" w:space="0" w:color="auto"/>
              <w:bottom w:val="single" w:sz="4" w:space="0" w:color="auto"/>
              <w:right w:val="single" w:sz="4" w:space="0" w:color="auto"/>
            </w:tcBorders>
            <w:vAlign w:val="center"/>
          </w:tcPr>
          <w:p>
            <w:pPr>
              <w:jc w:val="center"/>
              <w:rPr>
                <w:rFonts w:ascii="宋体" w:hAnsi="宋体" w:cs="宋体" w:hint="eastAsia"/>
                <w:b/>
                <w:szCs w:val="21"/>
              </w:rPr>
            </w:pPr>
            <w:r>
              <w:rPr>
                <w:rFonts w:ascii="宋体" w:hAnsi="宋体" w:cs="宋体" w:hint="eastAsia"/>
                <w:b/>
                <w:szCs w:val="21"/>
              </w:rPr>
              <w:t>2</w:t>
            </w:r>
          </w:p>
        </w:tc>
        <w:tc>
          <w:tcPr>
            <w:tcW w:w="711" w:type="pct"/>
            <w:tcBorders>
              <w:top w:val="single" w:sz="4" w:space="0" w:color="auto"/>
              <w:left w:val="single" w:sz="4" w:space="0" w:color="auto"/>
              <w:bottom w:val="single" w:sz="4" w:space="0" w:color="auto"/>
              <w:right w:val="single" w:sz="4" w:space="0" w:color="auto"/>
            </w:tcBorders>
            <w:vAlign w:val="center"/>
          </w:tcPr>
          <w:p>
            <w:pPr>
              <w:jc w:val="center"/>
              <w:rPr>
                <w:rFonts w:ascii="宋体" w:hAnsi="宋体" w:cs="宋体" w:hint="eastAsia"/>
                <w:szCs w:val="21"/>
              </w:rPr>
            </w:pPr>
            <w:r>
              <w:rPr>
                <w:rFonts w:ascii="宋体" w:hAnsi="宋体" w:cs="宋体" w:hint="eastAsia"/>
                <w:szCs w:val="21"/>
              </w:rPr>
              <w:t>维修响应及故障解决时间</w:t>
            </w:r>
          </w:p>
        </w:tc>
        <w:tc>
          <w:tcPr>
            <w:tcW w:w="3794" w:type="pct"/>
            <w:tcBorders>
              <w:top w:val="single" w:sz="4" w:space="0" w:color="auto"/>
              <w:left w:val="single" w:sz="4" w:space="0" w:color="auto"/>
              <w:bottom w:val="single" w:sz="4" w:space="0" w:color="auto"/>
              <w:right w:val="single" w:sz="4" w:space="0" w:color="auto"/>
            </w:tcBorders>
          </w:tcPr>
          <w:p>
            <w:pPr>
              <w:spacing w:line="440" w:lineRule="exact"/>
              <w:ind w:firstLine="480" w:firstLineChars="200"/>
              <w:rPr>
                <w:rFonts w:ascii="宋体" w:hAnsi="宋体" w:cs="宋体" w:hint="eastAsia"/>
                <w:b/>
                <w:szCs w:val="21"/>
              </w:rPr>
            </w:pPr>
            <w:r>
              <w:rPr>
                <w:rFonts w:ascii="宋体" w:hAnsi="宋体" w:cs="宋体" w:hint="eastAsia"/>
                <w:szCs w:val="21"/>
              </w:rPr>
              <w:t>质保期内，中标人将向采购人提供优质的售后技术支持服务，开通</w:t>
            </w:r>
            <w:r>
              <w:rPr>
                <w:rFonts w:ascii="宋体" w:hAnsi="宋体" w:cs="宋体" w:hint="eastAsia"/>
                <w:szCs w:val="21"/>
                <w:u w:val="single"/>
              </w:rPr>
              <w:t xml:space="preserve"> 24 </w:t>
            </w:r>
            <w:r>
              <w:rPr>
                <w:rFonts w:ascii="宋体" w:hAnsi="宋体" w:cs="宋体" w:hint="eastAsia"/>
                <w:szCs w:val="21"/>
              </w:rPr>
              <w:t>小时热线电话接受采购人的电话技术咨询；如故障不能排除，中标人应在</w:t>
            </w:r>
            <w:r>
              <w:rPr>
                <w:rFonts w:ascii="宋体" w:hAnsi="宋体" w:cs="宋体" w:hint="eastAsia"/>
                <w:szCs w:val="21"/>
                <w:u w:val="single"/>
              </w:rPr>
              <w:t xml:space="preserve"> 48 </w:t>
            </w:r>
            <w:r>
              <w:rPr>
                <w:rFonts w:ascii="宋体" w:hAnsi="宋体" w:cs="宋体" w:hint="eastAsia"/>
                <w:szCs w:val="21"/>
              </w:rPr>
              <w:t>小时内提供现场服务，待产品运行正常后撤离现场。</w:t>
            </w:r>
          </w:p>
        </w:tc>
      </w:tr>
      <w:tr>
        <w:tblPrEx>
          <w:tblW w:w="4998" w:type="pct"/>
          <w:tblCellMar>
            <w:top w:w="0" w:type="dxa"/>
            <w:left w:w="108" w:type="dxa"/>
            <w:bottom w:w="0" w:type="dxa"/>
            <w:right w:w="108" w:type="dxa"/>
          </w:tblCellMar>
          <w:tblLook w:val="0000"/>
        </w:tblPrEx>
        <w:trPr>
          <w:trHeight w:val="350"/>
        </w:trPr>
        <w:tc>
          <w:tcPr>
            <w:tcW w:w="5000" w:type="pct"/>
            <w:gridSpan w:val="3"/>
            <w:tcBorders>
              <w:top w:val="single" w:sz="4" w:space="0" w:color="auto"/>
              <w:left w:val="single" w:sz="4" w:space="0" w:color="auto"/>
              <w:bottom w:val="single" w:sz="4" w:space="0" w:color="auto"/>
              <w:right w:val="single" w:sz="4" w:space="0" w:color="auto"/>
            </w:tcBorders>
          </w:tcPr>
          <w:p>
            <w:pPr>
              <w:rPr>
                <w:rFonts w:ascii="宋体" w:hAnsi="宋体" w:cs="宋体" w:hint="eastAsia"/>
                <w:b/>
                <w:szCs w:val="21"/>
              </w:rPr>
            </w:pPr>
            <w:r>
              <w:rPr>
                <w:rFonts w:ascii="宋体" w:hAnsi="宋体" w:cs="宋体" w:hint="eastAsia"/>
                <w:b/>
                <w:szCs w:val="21"/>
              </w:rPr>
              <w:t>（二）其他商务要求</w:t>
            </w:r>
          </w:p>
        </w:tc>
      </w:tr>
      <w:tr>
        <w:tblPrEx>
          <w:tblW w:w="4998" w:type="pct"/>
          <w:tblCellMar>
            <w:top w:w="0" w:type="dxa"/>
            <w:left w:w="108" w:type="dxa"/>
            <w:bottom w:w="0" w:type="dxa"/>
            <w:right w:w="108" w:type="dxa"/>
          </w:tblCellMar>
          <w:tblLook w:val="0000"/>
        </w:tblPrEx>
        <w:trPr>
          <w:trHeight w:val="350"/>
        </w:trPr>
        <w:tc>
          <w:tcPr>
            <w:tcW w:w="493" w:type="pct"/>
            <w:tcBorders>
              <w:top w:val="single" w:sz="4" w:space="0" w:color="auto"/>
              <w:left w:val="single" w:sz="4" w:space="0" w:color="auto"/>
              <w:bottom w:val="single" w:sz="4" w:space="0" w:color="auto"/>
              <w:right w:val="single" w:sz="4" w:space="0" w:color="auto"/>
            </w:tcBorders>
            <w:vAlign w:val="center"/>
          </w:tcPr>
          <w:p>
            <w:pPr>
              <w:jc w:val="center"/>
              <w:rPr>
                <w:rFonts w:ascii="宋体" w:hAnsi="宋体" w:cs="宋体" w:hint="eastAsia"/>
                <w:b/>
                <w:szCs w:val="21"/>
              </w:rPr>
            </w:pPr>
            <w:r>
              <w:rPr>
                <w:rFonts w:ascii="宋体" w:hAnsi="宋体" w:cs="宋体" w:hint="eastAsia"/>
                <w:b/>
                <w:szCs w:val="21"/>
              </w:rPr>
              <w:t>1</w:t>
            </w:r>
          </w:p>
        </w:tc>
        <w:tc>
          <w:tcPr>
            <w:tcW w:w="711" w:type="pct"/>
            <w:tcBorders>
              <w:top w:val="single" w:sz="4" w:space="0" w:color="auto"/>
              <w:left w:val="single" w:sz="4" w:space="0" w:color="auto"/>
              <w:bottom w:val="single" w:sz="4" w:space="0" w:color="auto"/>
              <w:right w:val="single" w:sz="4" w:space="0" w:color="auto"/>
            </w:tcBorders>
            <w:vAlign w:val="center"/>
          </w:tcPr>
          <w:p>
            <w:pPr>
              <w:jc w:val="center"/>
              <w:rPr>
                <w:rFonts w:ascii="宋体" w:hAnsi="宋体" w:cs="宋体" w:hint="eastAsia"/>
                <w:szCs w:val="21"/>
              </w:rPr>
            </w:pPr>
            <w:r>
              <w:rPr>
                <w:rFonts w:ascii="宋体" w:hAnsi="宋体" w:cs="宋体" w:hint="eastAsia"/>
                <w:szCs w:val="21"/>
              </w:rPr>
              <w:t>质量及知识产权要求</w:t>
            </w:r>
          </w:p>
        </w:tc>
        <w:tc>
          <w:tcPr>
            <w:tcW w:w="3794" w:type="pct"/>
            <w:tcBorders>
              <w:top w:val="single" w:sz="4" w:space="0" w:color="auto"/>
              <w:left w:val="single" w:sz="4" w:space="0" w:color="auto"/>
              <w:bottom w:val="single" w:sz="4" w:space="0" w:color="auto"/>
              <w:right w:val="single" w:sz="4" w:space="0" w:color="auto"/>
            </w:tcBorders>
          </w:tcPr>
          <w:p>
            <w:pPr>
              <w:spacing w:line="460" w:lineRule="exact"/>
              <w:ind w:firstLine="480" w:firstLineChars="200"/>
              <w:rPr>
                <w:rFonts w:ascii="宋体" w:hAnsi="宋体" w:cs="宋体" w:hint="eastAsia"/>
                <w:szCs w:val="21"/>
              </w:rPr>
            </w:pPr>
            <w:r>
              <w:rPr>
                <w:rFonts w:ascii="宋体" w:hAnsi="宋体" w:cs="宋体" w:hint="eastAsia"/>
                <w:szCs w:val="21"/>
              </w:rPr>
              <w:t>中标人提供完好、全新的原包装产品（包括零配件），随机技术资料齐全。产品符合国家质量检测标准，必须具有生产日期、厂名、厂址、产品合格证等。</w:t>
            </w:r>
          </w:p>
          <w:p>
            <w:pPr>
              <w:spacing w:line="440" w:lineRule="exact"/>
              <w:ind w:firstLine="480" w:firstLineChars="200"/>
              <w:rPr>
                <w:rFonts w:ascii="宋体" w:hAnsi="宋体" w:cs="宋体" w:hint="eastAsia"/>
                <w:szCs w:val="21"/>
              </w:rPr>
            </w:pPr>
            <w:r>
              <w:rPr>
                <w:rFonts w:ascii="宋体" w:hAnsi="宋体" w:cs="宋体" w:hint="eastAsia"/>
                <w:szCs w:val="21"/>
              </w:rPr>
              <w:t>中标人提供的产品不得侵害第三人的知识产权，否则，中标人应赔偿采购人因此遭受的一切损失（包括但不限于赔偿金、违约金、律师费、调查取证费 、差旅费等）。</w:t>
            </w:r>
          </w:p>
        </w:tc>
      </w:tr>
      <w:tr>
        <w:tblPrEx>
          <w:tblW w:w="4998" w:type="pct"/>
          <w:tblCellMar>
            <w:top w:w="0" w:type="dxa"/>
            <w:left w:w="108" w:type="dxa"/>
            <w:bottom w:w="0" w:type="dxa"/>
            <w:right w:w="108" w:type="dxa"/>
          </w:tblCellMar>
          <w:tblLook w:val="0000"/>
        </w:tblPrEx>
        <w:trPr>
          <w:trHeight w:val="350"/>
        </w:trPr>
        <w:tc>
          <w:tcPr>
            <w:tcW w:w="493" w:type="pct"/>
            <w:tcBorders>
              <w:top w:val="single" w:sz="4" w:space="0" w:color="auto"/>
              <w:left w:val="single" w:sz="4" w:space="0" w:color="auto"/>
              <w:bottom w:val="single" w:sz="4" w:space="0" w:color="auto"/>
              <w:right w:val="single" w:sz="4" w:space="0" w:color="auto"/>
            </w:tcBorders>
            <w:vAlign w:val="center"/>
          </w:tcPr>
          <w:p>
            <w:pPr>
              <w:jc w:val="center"/>
              <w:rPr>
                <w:rFonts w:ascii="宋体" w:hAnsi="宋体" w:cs="宋体" w:hint="eastAsia"/>
                <w:b/>
                <w:szCs w:val="21"/>
              </w:rPr>
            </w:pPr>
            <w:r>
              <w:rPr>
                <w:rFonts w:ascii="宋体" w:hAnsi="宋体" w:cs="宋体" w:hint="eastAsia"/>
                <w:b/>
                <w:szCs w:val="21"/>
              </w:rPr>
              <w:t>2</w:t>
            </w:r>
          </w:p>
        </w:tc>
        <w:tc>
          <w:tcPr>
            <w:tcW w:w="711" w:type="pct"/>
            <w:tcBorders>
              <w:top w:val="single" w:sz="4" w:space="0" w:color="auto"/>
              <w:left w:val="single" w:sz="4" w:space="0" w:color="auto"/>
              <w:bottom w:val="single" w:sz="4" w:space="0" w:color="auto"/>
              <w:right w:val="single" w:sz="4" w:space="0" w:color="auto"/>
            </w:tcBorders>
            <w:vAlign w:val="center"/>
          </w:tcPr>
          <w:p>
            <w:pPr>
              <w:spacing w:line="360" w:lineRule="auto"/>
              <w:jc w:val="left"/>
              <w:rPr>
                <w:rFonts w:ascii="宋体" w:hAnsi="宋体" w:cs="宋体" w:hint="eastAsia"/>
                <w:b/>
                <w:bCs/>
                <w:szCs w:val="21"/>
              </w:rPr>
            </w:pPr>
            <w:r>
              <w:rPr>
                <w:rFonts w:ascii="宋体" w:hAnsi="宋体" w:cs="宋体" w:hint="eastAsia"/>
                <w:b/>
                <w:bCs/>
                <w:szCs w:val="21"/>
              </w:rPr>
              <w:t>履约保证金</w:t>
            </w:r>
          </w:p>
          <w:p>
            <w:pPr>
              <w:jc w:val="center"/>
              <w:rPr>
                <w:rFonts w:ascii="宋体" w:hAnsi="宋体" w:cs="宋体" w:hint="eastAsia"/>
                <w:b/>
                <w:bCs/>
                <w:szCs w:val="21"/>
              </w:rPr>
            </w:pPr>
          </w:p>
        </w:tc>
        <w:tc>
          <w:tcPr>
            <w:tcW w:w="3794" w:type="pct"/>
            <w:tcBorders>
              <w:top w:val="single" w:sz="4" w:space="0" w:color="auto"/>
              <w:left w:val="single" w:sz="4" w:space="0" w:color="auto"/>
              <w:bottom w:val="single" w:sz="4" w:space="0" w:color="auto"/>
              <w:right w:val="single" w:sz="4" w:space="0" w:color="auto"/>
            </w:tcBorders>
          </w:tcPr>
          <w:p>
            <w:pPr>
              <w:snapToGrid w:val="0"/>
              <w:spacing w:line="360" w:lineRule="auto"/>
              <w:ind w:firstLine="470" w:firstLineChars="196"/>
              <w:rPr>
                <w:rFonts w:ascii="宋体" w:hAnsi="宋体" w:cs="宋体" w:hint="eastAsia"/>
                <w:b/>
                <w:bCs/>
                <w:szCs w:val="21"/>
              </w:rPr>
            </w:pPr>
            <w:r>
              <w:rPr>
                <w:rFonts w:ascii="宋体" w:hAnsi="宋体" w:cs="宋体" w:hint="eastAsia"/>
                <w:b/>
                <w:bCs/>
                <w:szCs w:val="21"/>
              </w:rPr>
              <w:t>★本项目在合同签订后</w:t>
            </w:r>
            <w:r>
              <w:rPr>
                <w:rFonts w:ascii="宋体" w:hAnsi="宋体" w:cs="宋体" w:hint="eastAsia"/>
                <w:b/>
                <w:bCs/>
                <w:szCs w:val="21"/>
                <w:u w:val="single"/>
              </w:rPr>
              <w:t xml:space="preserve"> 10 </w:t>
            </w:r>
            <w:r>
              <w:rPr>
                <w:rFonts w:ascii="宋体" w:hAnsi="宋体" w:cs="宋体" w:hint="eastAsia"/>
                <w:b/>
                <w:bCs/>
                <w:szCs w:val="21"/>
              </w:rPr>
              <w:t xml:space="preserve">个工作日内收取中标人履约保证金（以履约保函的形式提交）为合同金额的 </w:t>
            </w:r>
            <w:r>
              <w:rPr>
                <w:rFonts w:ascii="宋体" w:hAnsi="宋体" w:cs="宋体"/>
                <w:b/>
                <w:bCs/>
                <w:szCs w:val="21"/>
              </w:rPr>
              <w:t>5</w:t>
            </w:r>
            <w:r>
              <w:rPr>
                <w:rFonts w:ascii="宋体" w:hAnsi="宋体" w:cs="宋体" w:hint="eastAsia"/>
                <w:b/>
                <w:bCs/>
                <w:szCs w:val="21"/>
              </w:rPr>
              <w:t>%。如中标人未能履行合同约定的义务，采购人有权就其所遭受的损失与履约保证金作相应抵扣；若中标人履行义务符合合同约定，采购人将履约保证金无息退还中标人。</w:t>
            </w:r>
          </w:p>
        </w:tc>
      </w:tr>
      <w:tr>
        <w:tblPrEx>
          <w:tblW w:w="4998" w:type="pct"/>
          <w:tblCellMar>
            <w:top w:w="0" w:type="dxa"/>
            <w:left w:w="108" w:type="dxa"/>
            <w:bottom w:w="0" w:type="dxa"/>
            <w:right w:w="108" w:type="dxa"/>
          </w:tblCellMar>
          <w:tblLook w:val="0000"/>
        </w:tblPrEx>
        <w:trPr>
          <w:trHeight w:val="350"/>
        </w:trPr>
        <w:tc>
          <w:tcPr>
            <w:tcW w:w="493" w:type="pct"/>
            <w:tcBorders>
              <w:top w:val="single" w:sz="4" w:space="0" w:color="auto"/>
              <w:left w:val="single" w:sz="4" w:space="0" w:color="auto"/>
              <w:bottom w:val="single" w:sz="4" w:space="0" w:color="auto"/>
              <w:right w:val="single" w:sz="4" w:space="0" w:color="auto"/>
            </w:tcBorders>
            <w:vAlign w:val="center"/>
          </w:tcPr>
          <w:p>
            <w:pPr>
              <w:jc w:val="center"/>
              <w:rPr>
                <w:rFonts w:ascii="宋体" w:hAnsi="宋体" w:cs="宋体" w:hint="eastAsia"/>
                <w:b/>
                <w:szCs w:val="21"/>
              </w:rPr>
            </w:pPr>
            <w:r>
              <w:rPr>
                <w:rFonts w:ascii="宋体" w:hAnsi="宋体" w:cs="宋体" w:hint="eastAsia"/>
                <w:b/>
                <w:szCs w:val="21"/>
              </w:rPr>
              <w:t>3</w:t>
            </w:r>
          </w:p>
        </w:tc>
        <w:tc>
          <w:tcPr>
            <w:tcW w:w="711" w:type="pct"/>
            <w:tcBorders>
              <w:top w:val="single" w:sz="4" w:space="0" w:color="auto"/>
              <w:left w:val="single" w:sz="4" w:space="0" w:color="auto"/>
              <w:bottom w:val="single" w:sz="4" w:space="0" w:color="auto"/>
              <w:right w:val="single" w:sz="4" w:space="0" w:color="auto"/>
            </w:tcBorders>
            <w:vAlign w:val="center"/>
          </w:tcPr>
          <w:p>
            <w:pPr>
              <w:jc w:val="center"/>
              <w:rPr>
                <w:rFonts w:ascii="宋体" w:hAnsi="宋体" w:cs="宋体" w:hint="eastAsia"/>
                <w:szCs w:val="21"/>
              </w:rPr>
            </w:pPr>
            <w:r>
              <w:rPr>
                <w:rFonts w:ascii="宋体" w:hAnsi="宋体" w:cs="宋体" w:hint="eastAsia"/>
                <w:szCs w:val="21"/>
              </w:rPr>
              <w:t>交货地点</w:t>
            </w:r>
          </w:p>
        </w:tc>
        <w:tc>
          <w:tcPr>
            <w:tcW w:w="3794" w:type="pct"/>
            <w:tcBorders>
              <w:top w:val="single" w:sz="4" w:space="0" w:color="auto"/>
              <w:left w:val="single" w:sz="4" w:space="0" w:color="auto"/>
              <w:bottom w:val="single" w:sz="4" w:space="0" w:color="auto"/>
              <w:right w:val="single" w:sz="4" w:space="0" w:color="auto"/>
            </w:tcBorders>
          </w:tcPr>
          <w:p>
            <w:pPr>
              <w:spacing w:line="340" w:lineRule="exact"/>
              <w:rPr>
                <w:rFonts w:ascii="宋体" w:hAnsi="宋体" w:cs="宋体" w:hint="eastAsia"/>
                <w:bCs/>
                <w:szCs w:val="21"/>
              </w:rPr>
            </w:pPr>
            <w:r>
              <w:rPr>
                <w:rFonts w:ascii="宋体" w:hAnsi="宋体" w:cs="宋体" w:hint="eastAsia"/>
                <w:szCs w:val="21"/>
              </w:rPr>
              <w:t>深圳市南山区西丽深圳职业技术学院（校内具体地点由采购人指定）。</w:t>
            </w:r>
          </w:p>
        </w:tc>
      </w:tr>
      <w:tr>
        <w:tblPrEx>
          <w:tblW w:w="4998" w:type="pct"/>
          <w:tblCellMar>
            <w:top w:w="0" w:type="dxa"/>
            <w:left w:w="108" w:type="dxa"/>
            <w:bottom w:w="0" w:type="dxa"/>
            <w:right w:w="108" w:type="dxa"/>
          </w:tblCellMar>
          <w:tblLook w:val="0000"/>
        </w:tblPrEx>
        <w:trPr>
          <w:trHeight w:val="350"/>
        </w:trPr>
        <w:tc>
          <w:tcPr>
            <w:tcW w:w="493" w:type="pct"/>
            <w:tcBorders>
              <w:top w:val="single" w:sz="4" w:space="0" w:color="auto"/>
              <w:left w:val="single" w:sz="4" w:space="0" w:color="auto"/>
              <w:bottom w:val="single" w:sz="4" w:space="0" w:color="auto"/>
              <w:right w:val="single" w:sz="4" w:space="0" w:color="auto"/>
            </w:tcBorders>
            <w:vAlign w:val="center"/>
          </w:tcPr>
          <w:p>
            <w:pPr>
              <w:jc w:val="center"/>
              <w:rPr>
                <w:rFonts w:ascii="宋体" w:hAnsi="宋体" w:cs="宋体" w:hint="eastAsia"/>
                <w:b/>
                <w:szCs w:val="21"/>
              </w:rPr>
            </w:pPr>
            <w:r>
              <w:rPr>
                <w:rFonts w:ascii="宋体" w:hAnsi="宋体" w:cs="宋体" w:hint="eastAsia"/>
                <w:b/>
                <w:szCs w:val="21"/>
              </w:rPr>
              <w:t>4</w:t>
            </w:r>
          </w:p>
        </w:tc>
        <w:tc>
          <w:tcPr>
            <w:tcW w:w="711" w:type="pct"/>
            <w:tcBorders>
              <w:top w:val="single" w:sz="4" w:space="0" w:color="auto"/>
              <w:left w:val="single" w:sz="4" w:space="0" w:color="auto"/>
              <w:bottom w:val="single" w:sz="4" w:space="0" w:color="auto"/>
              <w:right w:val="single" w:sz="4" w:space="0" w:color="auto"/>
            </w:tcBorders>
            <w:vAlign w:val="center"/>
          </w:tcPr>
          <w:p>
            <w:pPr>
              <w:jc w:val="center"/>
              <w:rPr>
                <w:rFonts w:ascii="宋体" w:hAnsi="宋体" w:cs="宋体" w:hint="eastAsia"/>
                <w:b/>
                <w:bCs/>
                <w:szCs w:val="21"/>
              </w:rPr>
            </w:pPr>
            <w:r>
              <w:rPr>
                <w:rFonts w:ascii="宋体" w:hAnsi="宋体" w:cs="宋体" w:hint="eastAsia"/>
                <w:b/>
                <w:bCs/>
                <w:szCs w:val="21"/>
              </w:rPr>
              <w:t>交货期限</w:t>
            </w:r>
          </w:p>
        </w:tc>
        <w:tc>
          <w:tcPr>
            <w:tcW w:w="3794" w:type="pct"/>
            <w:tcBorders>
              <w:top w:val="single" w:sz="4" w:space="0" w:color="auto"/>
              <w:left w:val="single" w:sz="4" w:space="0" w:color="auto"/>
              <w:bottom w:val="single" w:sz="4" w:space="0" w:color="auto"/>
              <w:right w:val="single" w:sz="4" w:space="0" w:color="auto"/>
            </w:tcBorders>
          </w:tcPr>
          <w:p>
            <w:pPr>
              <w:spacing w:line="440" w:lineRule="exact"/>
              <w:ind w:firstLine="480" w:firstLineChars="200"/>
              <w:rPr>
                <w:rFonts w:ascii="宋体" w:hAnsi="宋体" w:cs="宋体" w:hint="eastAsia"/>
                <w:b/>
                <w:bCs/>
                <w:szCs w:val="21"/>
              </w:rPr>
            </w:pPr>
            <w:r>
              <w:rPr>
                <w:rFonts w:ascii="宋体" w:hAnsi="宋体" w:cs="宋体" w:hint="eastAsia"/>
                <w:b/>
                <w:bCs/>
                <w:szCs w:val="21"/>
              </w:rPr>
              <w:t>★合同签订后</w:t>
            </w:r>
            <w:r>
              <w:rPr>
                <w:rFonts w:ascii="宋体" w:hAnsi="宋体" w:cs="宋体" w:hint="eastAsia"/>
                <w:b/>
                <w:bCs/>
                <w:szCs w:val="21"/>
                <w:u w:val="single"/>
              </w:rPr>
              <w:t xml:space="preserve">  90 </w:t>
            </w:r>
            <w:r>
              <w:rPr>
                <w:rFonts w:ascii="宋体" w:hAnsi="宋体" w:cs="宋体" w:hint="eastAsia"/>
                <w:b/>
                <w:bCs/>
                <w:szCs w:val="21"/>
              </w:rPr>
              <w:t>个日历日内交货，产品的附件、备品备件及专用工具、技术文件和资料等应随产品一同交付。</w:t>
            </w:r>
          </w:p>
        </w:tc>
      </w:tr>
      <w:tr>
        <w:tblPrEx>
          <w:tblW w:w="4998" w:type="pct"/>
          <w:tblCellMar>
            <w:top w:w="0" w:type="dxa"/>
            <w:left w:w="108" w:type="dxa"/>
            <w:bottom w:w="0" w:type="dxa"/>
            <w:right w:w="108" w:type="dxa"/>
          </w:tblCellMar>
          <w:tblLook w:val="0000"/>
        </w:tblPrEx>
        <w:trPr>
          <w:trHeight w:val="350"/>
        </w:trPr>
        <w:tc>
          <w:tcPr>
            <w:tcW w:w="493" w:type="pct"/>
            <w:tcBorders>
              <w:top w:val="single" w:sz="4" w:space="0" w:color="auto"/>
              <w:left w:val="single" w:sz="4" w:space="0" w:color="auto"/>
              <w:bottom w:val="single" w:sz="4" w:space="0" w:color="auto"/>
              <w:right w:val="single" w:sz="4" w:space="0" w:color="auto"/>
            </w:tcBorders>
            <w:vAlign w:val="center"/>
          </w:tcPr>
          <w:p>
            <w:pPr>
              <w:jc w:val="center"/>
              <w:rPr>
                <w:rFonts w:ascii="宋体" w:hAnsi="宋体" w:cs="宋体" w:hint="eastAsia"/>
                <w:b/>
                <w:szCs w:val="21"/>
              </w:rPr>
            </w:pPr>
            <w:r>
              <w:rPr>
                <w:rFonts w:ascii="宋体" w:hAnsi="宋体" w:cs="宋体" w:hint="eastAsia"/>
                <w:b/>
                <w:szCs w:val="21"/>
              </w:rPr>
              <w:t>5</w:t>
            </w:r>
          </w:p>
        </w:tc>
        <w:tc>
          <w:tcPr>
            <w:tcW w:w="711" w:type="pct"/>
            <w:tcBorders>
              <w:top w:val="single" w:sz="4" w:space="0" w:color="auto"/>
              <w:left w:val="single" w:sz="4" w:space="0" w:color="auto"/>
              <w:bottom w:val="single" w:sz="4" w:space="0" w:color="auto"/>
              <w:right w:val="single" w:sz="4" w:space="0" w:color="auto"/>
            </w:tcBorders>
            <w:vAlign w:val="center"/>
          </w:tcPr>
          <w:p>
            <w:pPr>
              <w:jc w:val="center"/>
              <w:rPr>
                <w:rFonts w:ascii="宋体" w:hAnsi="宋体" w:cs="宋体" w:hint="eastAsia"/>
                <w:b/>
                <w:szCs w:val="21"/>
              </w:rPr>
            </w:pPr>
            <w:r>
              <w:rPr>
                <w:rFonts w:ascii="宋体" w:hAnsi="宋体" w:cs="宋体" w:hint="eastAsia"/>
                <w:szCs w:val="21"/>
              </w:rPr>
              <w:t>运输及包装方式的要求</w:t>
            </w:r>
          </w:p>
        </w:tc>
        <w:tc>
          <w:tcPr>
            <w:tcW w:w="3794" w:type="pct"/>
            <w:tcBorders>
              <w:top w:val="single" w:sz="4" w:space="0" w:color="auto"/>
              <w:left w:val="single" w:sz="4" w:space="0" w:color="auto"/>
              <w:bottom w:val="single" w:sz="4" w:space="0" w:color="auto"/>
              <w:right w:val="single" w:sz="4" w:space="0" w:color="auto"/>
            </w:tcBorders>
          </w:tcPr>
          <w:p>
            <w:pPr>
              <w:spacing w:line="460" w:lineRule="exact"/>
              <w:ind w:firstLine="480" w:firstLineChars="200"/>
              <w:rPr>
                <w:rFonts w:ascii="宋体" w:hAnsi="宋体" w:cs="宋体" w:hint="eastAsia"/>
                <w:szCs w:val="21"/>
              </w:rPr>
            </w:pPr>
            <w:r>
              <w:rPr>
                <w:rFonts w:ascii="宋体" w:hAnsi="宋体" w:cs="宋体" w:hint="eastAsia"/>
                <w:szCs w:val="21"/>
              </w:rPr>
              <w:t>中标人负责产品正式验收合格前的一切费用（包括运输、包装、仓储、安装、保险等费用）。</w:t>
            </w:r>
          </w:p>
          <w:p>
            <w:pPr>
              <w:spacing w:line="460" w:lineRule="exact"/>
              <w:ind w:firstLine="480" w:firstLineChars="200"/>
              <w:rPr>
                <w:rFonts w:ascii="宋体" w:hAnsi="宋体" w:cs="宋体" w:hint="eastAsia"/>
                <w:szCs w:val="21"/>
              </w:rPr>
            </w:pPr>
            <w:r>
              <w:rPr>
                <w:rFonts w:ascii="宋体" w:hAnsi="宋体" w:cs="宋体" w:hint="eastAsia"/>
                <w:szCs w:val="21"/>
              </w:rPr>
              <w:t>包装方式按照原厂出厂原标准，中标人承担由于其包装或其防护措施不妥而引起货物锈蚀、损坏和丢失等任何损失，并按照“其它商务要求”中的“违约责任”承担相应责任。</w:t>
            </w:r>
          </w:p>
        </w:tc>
      </w:tr>
      <w:tr>
        <w:tblPrEx>
          <w:tblW w:w="4998" w:type="pct"/>
          <w:tblCellMar>
            <w:top w:w="0" w:type="dxa"/>
            <w:left w:w="108" w:type="dxa"/>
            <w:bottom w:w="0" w:type="dxa"/>
            <w:right w:w="108" w:type="dxa"/>
          </w:tblCellMar>
          <w:tblLook w:val="0000"/>
        </w:tblPrEx>
        <w:trPr>
          <w:trHeight w:val="350"/>
        </w:trPr>
        <w:tc>
          <w:tcPr>
            <w:tcW w:w="493" w:type="pct"/>
            <w:tcBorders>
              <w:top w:val="single" w:sz="4" w:space="0" w:color="auto"/>
              <w:left w:val="single" w:sz="4" w:space="0" w:color="auto"/>
              <w:bottom w:val="single" w:sz="4" w:space="0" w:color="auto"/>
              <w:right w:val="single" w:sz="4" w:space="0" w:color="auto"/>
            </w:tcBorders>
            <w:vAlign w:val="center"/>
          </w:tcPr>
          <w:p>
            <w:pPr>
              <w:jc w:val="center"/>
              <w:rPr>
                <w:rFonts w:ascii="宋体" w:hAnsi="宋体" w:cs="宋体" w:hint="eastAsia"/>
                <w:b/>
                <w:szCs w:val="21"/>
              </w:rPr>
            </w:pPr>
            <w:r>
              <w:rPr>
                <w:rFonts w:ascii="宋体" w:hAnsi="宋体" w:cs="宋体" w:hint="eastAsia"/>
                <w:b/>
                <w:szCs w:val="21"/>
              </w:rPr>
              <w:t>6</w:t>
            </w:r>
          </w:p>
        </w:tc>
        <w:tc>
          <w:tcPr>
            <w:tcW w:w="711" w:type="pct"/>
            <w:tcBorders>
              <w:top w:val="single" w:sz="4" w:space="0" w:color="auto"/>
              <w:left w:val="single" w:sz="4" w:space="0" w:color="auto"/>
              <w:bottom w:val="single" w:sz="4" w:space="0" w:color="auto"/>
              <w:right w:val="single" w:sz="4" w:space="0" w:color="auto"/>
            </w:tcBorders>
            <w:vAlign w:val="center"/>
          </w:tcPr>
          <w:p>
            <w:pPr>
              <w:jc w:val="center"/>
              <w:rPr>
                <w:rFonts w:ascii="宋体" w:hAnsi="宋体" w:cs="宋体" w:hint="eastAsia"/>
                <w:b/>
                <w:szCs w:val="21"/>
              </w:rPr>
            </w:pPr>
            <w:r>
              <w:rPr>
                <w:rFonts w:ascii="宋体" w:hAnsi="宋体" w:cs="宋体" w:hint="eastAsia"/>
                <w:szCs w:val="21"/>
              </w:rPr>
              <w:t>安装、调试、验收及相关技术文件、资料</w:t>
            </w:r>
          </w:p>
        </w:tc>
        <w:tc>
          <w:tcPr>
            <w:tcW w:w="3794" w:type="pct"/>
            <w:tcBorders>
              <w:top w:val="single" w:sz="4" w:space="0" w:color="auto"/>
              <w:left w:val="single" w:sz="4" w:space="0" w:color="auto"/>
              <w:bottom w:val="single" w:sz="4" w:space="0" w:color="auto"/>
              <w:right w:val="single" w:sz="4" w:space="0" w:color="auto"/>
            </w:tcBorders>
          </w:tcPr>
          <w:p>
            <w:pPr>
              <w:spacing w:line="360" w:lineRule="auto"/>
              <w:ind w:firstLine="480" w:firstLineChars="200"/>
              <w:rPr>
                <w:rFonts w:ascii="宋体" w:hAnsi="宋体" w:cs="宋体" w:hint="eastAsia"/>
                <w:szCs w:val="21"/>
              </w:rPr>
            </w:pPr>
            <w:r>
              <w:rPr>
                <w:rFonts w:ascii="宋体" w:hAnsi="宋体" w:cs="宋体" w:hint="eastAsia"/>
                <w:szCs w:val="21"/>
              </w:rPr>
              <w:t>中标人将产品运输并卸至采购人指定地点，采购人将会同中标人及相关单位在到货后 10个日历日内共同进行开箱检验。</w:t>
            </w:r>
          </w:p>
          <w:p>
            <w:pPr>
              <w:spacing w:line="360" w:lineRule="auto"/>
              <w:rPr>
                <w:rFonts w:ascii="宋体" w:hAnsi="宋体" w:cs="宋体" w:hint="eastAsia"/>
                <w:szCs w:val="21"/>
              </w:rPr>
            </w:pPr>
            <w:r>
              <w:rPr>
                <w:rFonts w:ascii="宋体" w:hAnsi="宋体" w:cs="宋体" w:hint="eastAsia"/>
                <w:szCs w:val="21"/>
              </w:rPr>
              <w:t>中标人负责免费搬迁、安装、调试各2次。安装、调试完成后，由采购人组织技术验收和商务验收，中标人做好协助配合，验收合格后签署《验收报告》。产品质量和安装调试检验标准遵照国家相关规定和最新标准执行。</w:t>
            </w:r>
          </w:p>
          <w:p>
            <w:pPr>
              <w:spacing w:line="360" w:lineRule="auto"/>
              <w:ind w:firstLine="480" w:firstLineChars="200"/>
              <w:rPr>
                <w:rFonts w:ascii="宋体" w:hAnsi="宋体" w:cs="宋体" w:hint="eastAsia"/>
                <w:szCs w:val="21"/>
              </w:rPr>
            </w:pPr>
            <w:r>
              <w:rPr>
                <w:rFonts w:ascii="宋体" w:hAnsi="宋体" w:cs="宋体" w:hint="eastAsia"/>
                <w:szCs w:val="21"/>
              </w:rPr>
              <w:t>验收中如发现有质量不合格或型号规格、数量等与送货清单不符、提交的技术文件和资料不完整等情形，中标人应免费更换或补齐，并按照“其它商务要求”中的“违约责任”承担相应责任。</w:t>
            </w:r>
          </w:p>
          <w:p>
            <w:pPr>
              <w:spacing w:line="360" w:lineRule="auto"/>
              <w:ind w:firstLine="480" w:firstLineChars="200"/>
              <w:rPr>
                <w:rFonts w:ascii="宋体" w:hAnsi="宋体" w:cs="宋体" w:hint="eastAsia"/>
                <w:szCs w:val="21"/>
              </w:rPr>
            </w:pPr>
            <w:r>
              <w:rPr>
                <w:rFonts w:ascii="宋体" w:hAnsi="宋体" w:cs="宋体" w:hint="eastAsia"/>
                <w:szCs w:val="21"/>
              </w:rPr>
              <w:t>中标人应向采购人提供但不限于如下技术文件和资料：</w:t>
            </w:r>
          </w:p>
          <w:p>
            <w:pPr>
              <w:spacing w:line="360" w:lineRule="auto"/>
              <w:ind w:firstLine="240" w:firstLineChars="100"/>
              <w:rPr>
                <w:rFonts w:ascii="宋体" w:hAnsi="宋体" w:cs="宋体" w:hint="eastAsia"/>
                <w:szCs w:val="21"/>
              </w:rPr>
            </w:pPr>
            <w:r>
              <w:rPr>
                <w:rFonts w:ascii="宋体" w:hAnsi="宋体" w:cs="宋体" w:hint="eastAsia"/>
                <w:szCs w:val="21"/>
              </w:rPr>
              <w:t>（1）产品安装、操作和维修保养手册；</w:t>
            </w:r>
          </w:p>
          <w:p>
            <w:pPr>
              <w:spacing w:line="360" w:lineRule="auto"/>
              <w:ind w:firstLine="240" w:firstLineChars="100"/>
              <w:rPr>
                <w:rFonts w:ascii="宋体" w:hAnsi="宋体" w:cs="宋体" w:hint="eastAsia"/>
                <w:szCs w:val="21"/>
              </w:rPr>
            </w:pPr>
            <w:r>
              <w:rPr>
                <w:rFonts w:ascii="宋体" w:hAnsi="宋体" w:cs="宋体" w:hint="eastAsia"/>
                <w:szCs w:val="21"/>
              </w:rPr>
              <w:t>（2）产品使用说明书；</w:t>
            </w:r>
          </w:p>
          <w:p>
            <w:pPr>
              <w:spacing w:line="360" w:lineRule="auto"/>
              <w:ind w:firstLine="240" w:firstLineChars="100"/>
              <w:rPr>
                <w:rFonts w:ascii="宋体" w:hAnsi="宋体" w:cs="宋体" w:hint="eastAsia"/>
                <w:szCs w:val="21"/>
              </w:rPr>
            </w:pPr>
            <w:r>
              <w:rPr>
                <w:rFonts w:ascii="宋体" w:hAnsi="宋体" w:cs="宋体" w:hint="eastAsia"/>
                <w:szCs w:val="21"/>
              </w:rPr>
              <w:t>（3）产品出厂检验合格证；</w:t>
            </w:r>
          </w:p>
          <w:p>
            <w:pPr>
              <w:spacing w:line="360" w:lineRule="auto"/>
              <w:ind w:firstLine="240" w:firstLineChars="100"/>
              <w:rPr>
                <w:rFonts w:ascii="宋体" w:hAnsi="宋体" w:cs="宋体" w:hint="eastAsia"/>
                <w:szCs w:val="21"/>
              </w:rPr>
            </w:pPr>
            <w:r>
              <w:rPr>
                <w:rFonts w:ascii="宋体" w:hAnsi="宋体" w:cs="宋体" w:hint="eastAsia"/>
                <w:szCs w:val="21"/>
              </w:rPr>
              <w:t>（4）产品到货清单；</w:t>
            </w:r>
          </w:p>
          <w:p>
            <w:pPr>
              <w:spacing w:line="360" w:lineRule="auto"/>
              <w:ind w:firstLine="240" w:firstLineChars="100"/>
              <w:rPr>
                <w:rFonts w:ascii="宋体" w:hAnsi="宋体" w:cs="宋体" w:hint="eastAsia"/>
                <w:szCs w:val="21"/>
              </w:rPr>
            </w:pPr>
            <w:r>
              <w:rPr>
                <w:rFonts w:ascii="宋体" w:hAnsi="宋体" w:cs="宋体" w:hint="eastAsia"/>
                <w:szCs w:val="21"/>
              </w:rPr>
              <w:t>（5）产品保修证明；</w:t>
            </w:r>
          </w:p>
          <w:p>
            <w:pPr>
              <w:spacing w:line="360" w:lineRule="auto"/>
              <w:ind w:firstLine="240" w:firstLineChars="100"/>
              <w:rPr>
                <w:rFonts w:ascii="宋体" w:hAnsi="宋体" w:cs="宋体" w:hint="eastAsia"/>
                <w:szCs w:val="21"/>
              </w:rPr>
            </w:pPr>
            <w:r>
              <w:rPr>
                <w:rFonts w:ascii="宋体" w:hAnsi="宋体" w:cs="宋体" w:hint="eastAsia"/>
                <w:szCs w:val="21"/>
              </w:rPr>
              <w:t>（6）特种设备，有毒、有害、危险物品或特殊货物的生产许可证明，质量检测合格证明，销售、运输许可证明等材料；</w:t>
            </w:r>
          </w:p>
          <w:p>
            <w:pPr>
              <w:spacing w:line="360" w:lineRule="auto"/>
              <w:ind w:firstLine="240" w:firstLineChars="100"/>
              <w:rPr>
                <w:rFonts w:ascii="宋体" w:hAnsi="宋体" w:cs="宋体" w:hint="eastAsia"/>
                <w:szCs w:val="21"/>
              </w:rPr>
            </w:pPr>
            <w:r>
              <w:rPr>
                <w:rFonts w:ascii="宋体" w:hAnsi="宋体" w:cs="宋体" w:hint="eastAsia"/>
                <w:szCs w:val="21"/>
              </w:rPr>
              <w:t>（7）目的港商检部门出具的商检合格证书；</w:t>
            </w:r>
          </w:p>
          <w:p>
            <w:pPr>
              <w:spacing w:line="360" w:lineRule="auto"/>
              <w:ind w:firstLine="240" w:firstLineChars="100"/>
              <w:rPr>
                <w:rFonts w:ascii="宋体" w:hAnsi="宋体" w:cs="宋体" w:hint="eastAsia"/>
                <w:szCs w:val="21"/>
              </w:rPr>
            </w:pPr>
            <w:r>
              <w:rPr>
                <w:rFonts w:ascii="宋体" w:hAnsi="宋体" w:cs="宋体" w:hint="eastAsia"/>
                <w:szCs w:val="21"/>
              </w:rPr>
              <w:t>（8）货物装箱单；</w:t>
            </w:r>
          </w:p>
          <w:p>
            <w:pPr>
              <w:spacing w:line="360" w:lineRule="auto"/>
              <w:ind w:firstLine="240" w:firstLineChars="100"/>
              <w:rPr>
                <w:rFonts w:ascii="宋体" w:hAnsi="宋体" w:cs="宋体" w:hint="eastAsia"/>
                <w:szCs w:val="21"/>
              </w:rPr>
            </w:pPr>
            <w:r>
              <w:rPr>
                <w:rFonts w:ascii="宋体" w:hAnsi="宋体" w:cs="宋体" w:hint="eastAsia"/>
                <w:szCs w:val="21"/>
              </w:rPr>
              <w:t>（9）海运或空运提单；</w:t>
            </w:r>
          </w:p>
          <w:p>
            <w:pPr>
              <w:spacing w:line="360" w:lineRule="auto"/>
              <w:ind w:firstLine="240" w:firstLineChars="100"/>
              <w:rPr>
                <w:rFonts w:ascii="宋体" w:hAnsi="宋体" w:cs="宋体" w:hint="eastAsia"/>
                <w:szCs w:val="21"/>
              </w:rPr>
            </w:pPr>
            <w:r>
              <w:rPr>
                <w:rFonts w:ascii="宋体" w:hAnsi="宋体" w:cs="宋体" w:hint="eastAsia"/>
                <w:szCs w:val="21"/>
              </w:rPr>
              <w:t>（10）保险单；</w:t>
            </w:r>
          </w:p>
          <w:p>
            <w:pPr>
              <w:spacing w:line="360" w:lineRule="auto"/>
              <w:ind w:firstLine="240" w:firstLineChars="100"/>
              <w:rPr>
                <w:rFonts w:ascii="宋体" w:hAnsi="宋体" w:cs="宋体" w:hint="eastAsia"/>
                <w:szCs w:val="21"/>
              </w:rPr>
            </w:pPr>
            <w:r>
              <w:rPr>
                <w:rFonts w:ascii="宋体" w:hAnsi="宋体" w:cs="宋体" w:hint="eastAsia"/>
                <w:szCs w:val="21"/>
              </w:rPr>
              <w:t>（11）报关单；</w:t>
            </w:r>
          </w:p>
          <w:p>
            <w:pPr>
              <w:spacing w:line="360" w:lineRule="auto"/>
              <w:ind w:firstLine="240" w:firstLineChars="100"/>
              <w:rPr>
                <w:rFonts w:ascii="宋体" w:hAnsi="宋体" w:cs="宋体" w:hint="eastAsia"/>
                <w:szCs w:val="21"/>
              </w:rPr>
            </w:pPr>
            <w:r>
              <w:rPr>
                <w:rFonts w:ascii="宋体" w:hAnsi="宋体" w:cs="宋体" w:hint="eastAsia"/>
                <w:szCs w:val="21"/>
              </w:rPr>
              <w:t>（12）木箱包装须提供由本合同货物出产国权威机构签发的木质包装熏蒸证书正本。</w:t>
            </w:r>
          </w:p>
        </w:tc>
      </w:tr>
      <w:tr>
        <w:tblPrEx>
          <w:tblW w:w="4998" w:type="pct"/>
          <w:tblCellMar>
            <w:top w:w="0" w:type="dxa"/>
            <w:left w:w="108" w:type="dxa"/>
            <w:bottom w:w="0" w:type="dxa"/>
            <w:right w:w="108" w:type="dxa"/>
          </w:tblCellMar>
          <w:tblLook w:val="0000"/>
        </w:tblPrEx>
        <w:trPr>
          <w:trHeight w:val="350"/>
        </w:trPr>
        <w:tc>
          <w:tcPr>
            <w:tcW w:w="493" w:type="pct"/>
            <w:tcBorders>
              <w:top w:val="single" w:sz="4" w:space="0" w:color="auto"/>
              <w:left w:val="single" w:sz="4" w:space="0" w:color="auto"/>
              <w:bottom w:val="single" w:sz="4" w:space="0" w:color="auto"/>
              <w:right w:val="single" w:sz="4" w:space="0" w:color="auto"/>
            </w:tcBorders>
            <w:vAlign w:val="center"/>
          </w:tcPr>
          <w:p>
            <w:pPr>
              <w:jc w:val="center"/>
              <w:rPr>
                <w:rFonts w:ascii="宋体" w:hAnsi="宋体" w:cs="宋体" w:hint="eastAsia"/>
                <w:b/>
                <w:szCs w:val="21"/>
              </w:rPr>
            </w:pPr>
            <w:r>
              <w:rPr>
                <w:rFonts w:ascii="宋体" w:hAnsi="宋体" w:cs="宋体" w:hint="eastAsia"/>
                <w:b/>
                <w:szCs w:val="21"/>
              </w:rPr>
              <w:t>7</w:t>
            </w:r>
          </w:p>
        </w:tc>
        <w:tc>
          <w:tcPr>
            <w:tcW w:w="711" w:type="pct"/>
            <w:tcBorders>
              <w:top w:val="single" w:sz="4" w:space="0" w:color="auto"/>
              <w:left w:val="single" w:sz="4" w:space="0" w:color="auto"/>
              <w:bottom w:val="single" w:sz="4" w:space="0" w:color="auto"/>
              <w:right w:val="single" w:sz="4" w:space="0" w:color="auto"/>
            </w:tcBorders>
            <w:vAlign w:val="center"/>
          </w:tcPr>
          <w:p>
            <w:pPr>
              <w:jc w:val="center"/>
              <w:rPr>
                <w:rFonts w:ascii="宋体" w:hAnsi="宋体" w:cs="宋体" w:hint="eastAsia"/>
                <w:b/>
                <w:szCs w:val="21"/>
              </w:rPr>
            </w:pPr>
            <w:r>
              <w:rPr>
                <w:rFonts w:ascii="宋体" w:hAnsi="宋体" w:cs="宋体" w:hint="eastAsia"/>
                <w:szCs w:val="21"/>
              </w:rPr>
              <w:t>技术培训</w:t>
            </w:r>
          </w:p>
        </w:tc>
        <w:tc>
          <w:tcPr>
            <w:tcW w:w="3794" w:type="pct"/>
            <w:tcBorders>
              <w:top w:val="single" w:sz="4" w:space="0" w:color="auto"/>
              <w:left w:val="single" w:sz="4" w:space="0" w:color="auto"/>
              <w:bottom w:val="single" w:sz="4" w:space="0" w:color="auto"/>
              <w:right w:val="single" w:sz="4" w:space="0" w:color="auto"/>
            </w:tcBorders>
          </w:tcPr>
          <w:p>
            <w:pPr>
              <w:spacing w:line="460" w:lineRule="exact"/>
              <w:ind w:left="720" w:hanging="240" w:leftChars="200" w:hangingChars="100"/>
              <w:rPr>
                <w:rFonts w:ascii="宋体" w:hAnsi="宋体" w:cs="宋体" w:hint="eastAsia"/>
                <w:szCs w:val="21"/>
              </w:rPr>
            </w:pPr>
            <w:r>
              <w:rPr>
                <w:rFonts w:ascii="宋体" w:hAnsi="宋体" w:cs="宋体" w:hint="eastAsia"/>
                <w:szCs w:val="21"/>
              </w:rPr>
              <w:t>中标人提供详细技术资料并免费对采购人</w:t>
            </w:r>
            <w:r>
              <w:rPr>
                <w:rFonts w:ascii="宋体" w:hAnsi="宋体" w:cs="宋体" w:hint="eastAsia"/>
                <w:szCs w:val="21"/>
                <w:u w:val="single"/>
              </w:rPr>
              <w:t xml:space="preserve"> 5</w:t>
            </w:r>
            <w:r>
              <w:rPr>
                <w:rFonts w:ascii="宋体" w:hAnsi="宋体" w:cs="宋体" w:hint="eastAsia"/>
                <w:szCs w:val="21"/>
              </w:rPr>
              <w:t>人</w:t>
            </w:r>
          </w:p>
          <w:p>
            <w:pPr>
              <w:spacing w:line="460" w:lineRule="exact"/>
              <w:ind w:left="720" w:hanging="240" w:leftChars="200" w:hangingChars="100"/>
              <w:rPr>
                <w:rFonts w:ascii="宋体" w:hAnsi="宋体" w:cs="宋体" w:hint="eastAsia"/>
                <w:szCs w:val="21"/>
              </w:rPr>
            </w:pPr>
            <w:r>
              <w:rPr>
                <w:rFonts w:ascii="宋体" w:hAnsi="宋体" w:cs="宋体" w:hint="eastAsia"/>
                <w:szCs w:val="21"/>
              </w:rPr>
              <w:t>进行</w:t>
            </w:r>
            <w:r>
              <w:rPr>
                <w:rFonts w:ascii="宋体" w:hAnsi="宋体" w:cs="宋体" w:hint="eastAsia"/>
                <w:szCs w:val="21"/>
                <w:u w:val="single"/>
              </w:rPr>
              <w:t>5</w:t>
            </w:r>
            <w:r>
              <w:rPr>
                <w:rFonts w:ascii="宋体" w:hAnsi="宋体" w:cs="宋体" w:hint="eastAsia"/>
                <w:szCs w:val="21"/>
              </w:rPr>
              <w:t>天技术培训。</w:t>
            </w:r>
          </w:p>
          <w:p>
            <w:pPr>
              <w:spacing w:line="460" w:lineRule="exact"/>
              <w:ind w:firstLine="480" w:firstLineChars="200"/>
              <w:rPr>
                <w:rFonts w:ascii="宋体" w:hAnsi="宋体" w:cs="宋体" w:hint="eastAsia"/>
                <w:szCs w:val="21"/>
              </w:rPr>
            </w:pPr>
            <w:r>
              <w:rPr>
                <w:rFonts w:ascii="宋体" w:hAnsi="宋体" w:cs="宋体" w:hint="eastAsia"/>
                <w:szCs w:val="21"/>
              </w:rPr>
              <w:t>培训的内容及方案应由双方协商制定。中标人前来进行技术培训的人员的费用包括在合同总价中。</w:t>
            </w:r>
          </w:p>
        </w:tc>
      </w:tr>
      <w:tr>
        <w:tblPrEx>
          <w:tblW w:w="4998" w:type="pct"/>
          <w:tblCellMar>
            <w:top w:w="0" w:type="dxa"/>
            <w:left w:w="108" w:type="dxa"/>
            <w:bottom w:w="0" w:type="dxa"/>
            <w:right w:w="108" w:type="dxa"/>
          </w:tblCellMar>
          <w:tblLook w:val="0000"/>
        </w:tblPrEx>
        <w:trPr>
          <w:trHeight w:val="350"/>
        </w:trPr>
        <w:tc>
          <w:tcPr>
            <w:tcW w:w="493" w:type="pct"/>
            <w:tcBorders>
              <w:top w:val="single" w:sz="4" w:space="0" w:color="auto"/>
              <w:left w:val="single" w:sz="4" w:space="0" w:color="auto"/>
              <w:bottom w:val="single" w:sz="4" w:space="0" w:color="auto"/>
              <w:right w:val="single" w:sz="4" w:space="0" w:color="auto"/>
            </w:tcBorders>
            <w:vAlign w:val="center"/>
          </w:tcPr>
          <w:p>
            <w:pPr>
              <w:jc w:val="center"/>
              <w:rPr>
                <w:rFonts w:ascii="宋体" w:hAnsi="宋体" w:cs="宋体" w:hint="eastAsia"/>
                <w:b/>
                <w:szCs w:val="21"/>
              </w:rPr>
            </w:pPr>
            <w:r>
              <w:rPr>
                <w:rFonts w:ascii="宋体" w:hAnsi="宋体" w:cs="宋体" w:hint="eastAsia"/>
                <w:b/>
                <w:szCs w:val="21"/>
              </w:rPr>
              <w:t>8</w:t>
            </w:r>
          </w:p>
        </w:tc>
        <w:tc>
          <w:tcPr>
            <w:tcW w:w="711" w:type="pct"/>
            <w:tcBorders>
              <w:top w:val="single" w:sz="4" w:space="0" w:color="auto"/>
              <w:left w:val="single" w:sz="4" w:space="0" w:color="auto"/>
              <w:bottom w:val="single" w:sz="4" w:space="0" w:color="auto"/>
              <w:right w:val="single" w:sz="4" w:space="0" w:color="auto"/>
            </w:tcBorders>
            <w:vAlign w:val="center"/>
          </w:tcPr>
          <w:p>
            <w:pPr>
              <w:jc w:val="center"/>
              <w:rPr>
                <w:rFonts w:ascii="宋体" w:hAnsi="宋体" w:cs="宋体" w:hint="eastAsia"/>
                <w:b/>
                <w:szCs w:val="21"/>
              </w:rPr>
            </w:pPr>
            <w:r>
              <w:rPr>
                <w:rFonts w:ascii="宋体" w:hAnsi="宋体" w:cs="宋体" w:hint="eastAsia"/>
                <w:szCs w:val="21"/>
              </w:rPr>
              <w:t>付款方式和时间安排</w:t>
            </w:r>
          </w:p>
        </w:tc>
        <w:tc>
          <w:tcPr>
            <w:tcW w:w="3794" w:type="pct"/>
            <w:tcBorders>
              <w:top w:val="single" w:sz="4" w:space="0" w:color="auto"/>
              <w:left w:val="single" w:sz="4" w:space="0" w:color="auto"/>
              <w:bottom w:val="single" w:sz="4" w:space="0" w:color="auto"/>
              <w:right w:val="single" w:sz="4" w:space="0" w:color="auto"/>
            </w:tcBorders>
          </w:tcPr>
          <w:p>
            <w:pPr>
              <w:spacing w:line="460" w:lineRule="exact"/>
              <w:ind w:firstLine="480" w:firstLineChars="200"/>
              <w:rPr>
                <w:rFonts w:ascii="宋体" w:hAnsi="宋体" w:cs="宋体" w:hint="eastAsia"/>
                <w:b/>
                <w:bCs/>
                <w:szCs w:val="21"/>
              </w:rPr>
            </w:pPr>
            <w:r>
              <w:rPr>
                <w:rFonts w:ascii="宋体" w:hAnsi="宋体" w:cs="宋体" w:hint="eastAsia"/>
                <w:b/>
                <w:bCs/>
                <w:szCs w:val="21"/>
              </w:rPr>
              <w:t>★合同签订15个工作日内，采购方支付合同金额预付款比例30%。验收合格后，中标人提供全额含税发票给采购人，采购人负责办理相关付款资料，审批流程完成后支付尾款。</w:t>
            </w:r>
          </w:p>
          <w:p>
            <w:pPr>
              <w:spacing w:line="460" w:lineRule="exact"/>
              <w:ind w:firstLine="480" w:firstLineChars="200"/>
              <w:rPr>
                <w:rFonts w:ascii="宋体" w:hAnsi="宋体" w:cs="宋体" w:hint="eastAsia"/>
                <w:szCs w:val="21"/>
              </w:rPr>
            </w:pPr>
            <w:r>
              <w:rPr>
                <w:rFonts w:ascii="宋体" w:hAnsi="宋体" w:cs="宋体" w:hint="eastAsia"/>
                <w:b/>
                <w:bCs/>
                <w:szCs w:val="21"/>
              </w:rPr>
              <w:t>因政府部门核批等非采购人原因导致付款延迟的，中标人不得因此要求甲方承担相关责任。采购人付款前，中标人应提供等额合法有效的发票及必备单据。如中标人未提供、延迟提供发票及必备单据或者提供的发票及必备单据不合格，采购人有权中止付款，且不负延迟付款的违约责任。</w:t>
            </w:r>
          </w:p>
        </w:tc>
      </w:tr>
      <w:tr>
        <w:tblPrEx>
          <w:tblW w:w="4998" w:type="pct"/>
          <w:tblCellMar>
            <w:top w:w="0" w:type="dxa"/>
            <w:left w:w="108" w:type="dxa"/>
            <w:bottom w:w="0" w:type="dxa"/>
            <w:right w:w="108" w:type="dxa"/>
          </w:tblCellMar>
          <w:tblLook w:val="0000"/>
        </w:tblPrEx>
        <w:trPr>
          <w:trHeight w:val="350"/>
        </w:trPr>
        <w:tc>
          <w:tcPr>
            <w:tcW w:w="493" w:type="pct"/>
            <w:tcBorders>
              <w:top w:val="single" w:sz="4" w:space="0" w:color="auto"/>
              <w:left w:val="single" w:sz="4" w:space="0" w:color="auto"/>
              <w:bottom w:val="single" w:sz="4" w:space="0" w:color="auto"/>
              <w:right w:val="single" w:sz="4" w:space="0" w:color="auto"/>
            </w:tcBorders>
            <w:vAlign w:val="center"/>
          </w:tcPr>
          <w:p>
            <w:pPr>
              <w:jc w:val="center"/>
              <w:rPr>
                <w:rFonts w:ascii="宋体" w:hAnsi="宋体" w:cs="宋体" w:hint="eastAsia"/>
                <w:b/>
                <w:szCs w:val="21"/>
              </w:rPr>
            </w:pPr>
            <w:r>
              <w:rPr>
                <w:rFonts w:ascii="宋体" w:hAnsi="宋体" w:cs="宋体" w:hint="eastAsia"/>
                <w:b/>
                <w:szCs w:val="21"/>
              </w:rPr>
              <w:t>9</w:t>
            </w:r>
          </w:p>
        </w:tc>
        <w:tc>
          <w:tcPr>
            <w:tcW w:w="711" w:type="pct"/>
            <w:tcBorders>
              <w:top w:val="single" w:sz="4" w:space="0" w:color="auto"/>
              <w:left w:val="single" w:sz="4" w:space="0" w:color="auto"/>
              <w:bottom w:val="single" w:sz="4" w:space="0" w:color="auto"/>
              <w:right w:val="single" w:sz="4" w:space="0" w:color="auto"/>
            </w:tcBorders>
            <w:vAlign w:val="center"/>
          </w:tcPr>
          <w:p>
            <w:pPr>
              <w:jc w:val="center"/>
              <w:rPr>
                <w:rFonts w:ascii="宋体" w:hAnsi="宋体" w:cs="宋体" w:hint="eastAsia"/>
                <w:b/>
                <w:szCs w:val="21"/>
              </w:rPr>
            </w:pPr>
            <w:r>
              <w:rPr>
                <w:rFonts w:ascii="宋体" w:hAnsi="宋体" w:cs="宋体" w:hint="eastAsia"/>
                <w:szCs w:val="21"/>
              </w:rPr>
              <w:t>违约责任</w:t>
            </w:r>
          </w:p>
        </w:tc>
        <w:tc>
          <w:tcPr>
            <w:tcW w:w="3794" w:type="pct"/>
            <w:tcBorders>
              <w:top w:val="single" w:sz="4" w:space="0" w:color="auto"/>
              <w:left w:val="single" w:sz="4" w:space="0" w:color="auto"/>
              <w:bottom w:val="single" w:sz="4" w:space="0" w:color="auto"/>
              <w:right w:val="single" w:sz="4" w:space="0" w:color="auto"/>
            </w:tcBorders>
          </w:tcPr>
          <w:p>
            <w:pPr>
              <w:spacing w:line="460" w:lineRule="exact"/>
              <w:ind w:firstLine="480" w:firstLineChars="200"/>
              <w:rPr>
                <w:rFonts w:ascii="宋体" w:hAnsi="宋体" w:cs="宋体" w:hint="eastAsia"/>
                <w:szCs w:val="21"/>
              </w:rPr>
            </w:pPr>
            <w:r>
              <w:rPr>
                <w:rFonts w:ascii="宋体" w:hAnsi="宋体" w:cs="宋体" w:hint="eastAsia"/>
                <w:szCs w:val="21"/>
              </w:rPr>
              <w:t>合同生效后，中标人逾期交付产品，应向采购人每日支付合同总价千分之三的违约金。验收合格后，采购人逾期付款，应向中标人每日支付合同总价千分之三的违约金。</w:t>
            </w:r>
          </w:p>
          <w:p>
            <w:pPr>
              <w:spacing w:line="460" w:lineRule="exact"/>
              <w:ind w:firstLine="480" w:firstLineChars="200"/>
              <w:rPr>
                <w:rFonts w:ascii="宋体" w:hAnsi="宋体" w:cs="宋体" w:hint="eastAsia"/>
                <w:szCs w:val="21"/>
              </w:rPr>
            </w:pPr>
            <w:r>
              <w:rPr>
                <w:rFonts w:ascii="宋体" w:hAnsi="宋体" w:cs="宋体" w:hint="eastAsia"/>
                <w:szCs w:val="21"/>
              </w:rPr>
              <w:t>中标人所交付的产品品种、型号、规格、质量不符合同规定标准的，采购人有权拒绝收货。中标人不能交货或不能依约提供技术服务或单方终止合同，采购人可主张中标人向采购人支付不超过合同总价百分之三十的违约金并承担相应的违约责任。</w:t>
            </w:r>
          </w:p>
          <w:p>
            <w:pPr>
              <w:spacing w:line="460" w:lineRule="exact"/>
              <w:ind w:firstLine="480" w:firstLineChars="200"/>
              <w:rPr>
                <w:rFonts w:ascii="宋体" w:hAnsi="宋体" w:cs="宋体" w:hint="eastAsia"/>
                <w:szCs w:val="21"/>
              </w:rPr>
            </w:pPr>
            <w:r>
              <w:rPr>
                <w:rFonts w:ascii="宋体" w:hAnsi="宋体" w:cs="宋体" w:hint="eastAsia"/>
                <w:szCs w:val="21"/>
              </w:rPr>
              <w:t>中标人交付的产品存在采购人验收人员在验收时无法肉眼现场发现的质量问题，包括但不限于产品技术质量问题、使用后才能发现的问题、专业仪器检测才能发现的问题、假冒产品经原厂或专业部门检测后发现的问题等，采购人有权在质保期内向中标人主张退货或换货，采购人可主张中标人向采购人支付不超过合同总价百分之三十的违约金并承担相应的违约责任。</w:t>
            </w:r>
          </w:p>
        </w:tc>
      </w:tr>
      <w:tr>
        <w:tblPrEx>
          <w:tblW w:w="4998" w:type="pct"/>
          <w:tblCellMar>
            <w:top w:w="0" w:type="dxa"/>
            <w:left w:w="108" w:type="dxa"/>
            <w:bottom w:w="0" w:type="dxa"/>
            <w:right w:w="108" w:type="dxa"/>
          </w:tblCellMar>
          <w:tblLook w:val="0000"/>
        </w:tblPrEx>
        <w:trPr>
          <w:trHeight w:val="350"/>
        </w:trPr>
        <w:tc>
          <w:tcPr>
            <w:tcW w:w="493" w:type="pct"/>
            <w:tcBorders>
              <w:top w:val="single" w:sz="4" w:space="0" w:color="auto"/>
              <w:left w:val="single" w:sz="4" w:space="0" w:color="auto"/>
              <w:bottom w:val="single" w:sz="4" w:space="0" w:color="auto"/>
              <w:right w:val="single" w:sz="4" w:space="0" w:color="auto"/>
            </w:tcBorders>
            <w:vAlign w:val="center"/>
          </w:tcPr>
          <w:p>
            <w:pPr>
              <w:jc w:val="center"/>
              <w:rPr>
                <w:rFonts w:ascii="宋体" w:hAnsi="宋体" w:cs="宋体" w:hint="eastAsia"/>
                <w:b/>
                <w:szCs w:val="21"/>
              </w:rPr>
            </w:pPr>
            <w:r>
              <w:rPr>
                <w:rFonts w:ascii="宋体" w:hAnsi="宋体" w:cs="宋体" w:hint="eastAsia"/>
                <w:b/>
                <w:szCs w:val="21"/>
              </w:rPr>
              <w:t>10</w:t>
            </w:r>
          </w:p>
        </w:tc>
        <w:tc>
          <w:tcPr>
            <w:tcW w:w="711" w:type="pct"/>
            <w:tcBorders>
              <w:top w:val="single" w:sz="4" w:space="0" w:color="auto"/>
              <w:left w:val="single" w:sz="4" w:space="0" w:color="auto"/>
              <w:bottom w:val="single" w:sz="4" w:space="0" w:color="auto"/>
              <w:right w:val="single" w:sz="4" w:space="0" w:color="auto"/>
            </w:tcBorders>
            <w:vAlign w:val="center"/>
          </w:tcPr>
          <w:p>
            <w:pPr>
              <w:jc w:val="center"/>
              <w:rPr>
                <w:rFonts w:ascii="宋体" w:hAnsi="宋体" w:cs="宋体" w:hint="eastAsia"/>
                <w:b/>
                <w:szCs w:val="21"/>
              </w:rPr>
            </w:pPr>
            <w:r>
              <w:rPr>
                <w:rFonts w:ascii="宋体" w:hAnsi="宋体" w:cs="宋体" w:hint="eastAsia"/>
                <w:szCs w:val="21"/>
              </w:rPr>
              <w:t>不可抗力</w:t>
            </w:r>
          </w:p>
        </w:tc>
        <w:tc>
          <w:tcPr>
            <w:tcW w:w="3794" w:type="pct"/>
            <w:tcBorders>
              <w:top w:val="single" w:sz="4" w:space="0" w:color="auto"/>
              <w:left w:val="single" w:sz="4" w:space="0" w:color="auto"/>
              <w:bottom w:val="single" w:sz="4" w:space="0" w:color="auto"/>
              <w:right w:val="single" w:sz="4" w:space="0" w:color="auto"/>
            </w:tcBorders>
          </w:tcPr>
          <w:p>
            <w:pPr>
              <w:spacing w:line="460" w:lineRule="exact"/>
              <w:ind w:firstLine="480" w:firstLineChars="200"/>
              <w:rPr>
                <w:rFonts w:ascii="宋体" w:hAnsi="宋体" w:cs="宋体" w:hint="eastAsia"/>
                <w:szCs w:val="21"/>
              </w:rPr>
            </w:pPr>
            <w:r>
              <w:rPr>
                <w:rFonts w:ascii="宋体" w:hAnsi="宋体" w:cs="宋体" w:hint="eastAsia"/>
                <w:szCs w:val="21"/>
              </w:rPr>
              <w:t>签约双方任一方由于受到不可抗力的影响而不能执行合同时，应在不可抗力事件发生后尽快用电报、传真或电传通知另一方，并于事件发生后</w:t>
            </w:r>
            <w:r>
              <w:rPr>
                <w:rFonts w:ascii="宋体" w:hAnsi="宋体" w:cs="宋体" w:hint="eastAsia"/>
                <w:b/>
                <w:szCs w:val="21"/>
              </w:rPr>
              <w:t>15</w:t>
            </w:r>
            <w:r>
              <w:rPr>
                <w:rFonts w:ascii="宋体" w:hAnsi="宋体" w:cs="宋体" w:hint="eastAsia"/>
                <w:szCs w:val="21"/>
              </w:rPr>
              <w:t>天内将有关当局出具的证明文件用特快专递寄给另一方审阅确认。履行合同的期限相应予以延长，其延长的期限相当于事件所影响的时间。</w:t>
            </w:r>
          </w:p>
          <w:p>
            <w:pPr>
              <w:spacing w:line="460" w:lineRule="exact"/>
              <w:ind w:firstLine="480" w:firstLineChars="200"/>
              <w:rPr>
                <w:rFonts w:ascii="宋体" w:hAnsi="宋体" w:cs="宋体" w:hint="eastAsia"/>
                <w:szCs w:val="21"/>
              </w:rPr>
            </w:pPr>
            <w:r>
              <w:rPr>
                <w:rFonts w:ascii="宋体" w:hAnsi="宋体" w:cs="宋体" w:hint="eastAsia"/>
                <w:szCs w:val="21"/>
              </w:rPr>
              <w:t>不可抗力事件系指买卖双方在缔结合同时所不能预见的，并且它的发生及其后果是无法避免和无法克服的事件，诸如战争、严重火灾、洪水、台风、瘟疫、地震等。</w:t>
            </w:r>
          </w:p>
        </w:tc>
      </w:tr>
      <w:tr>
        <w:tblPrEx>
          <w:tblW w:w="4998" w:type="pct"/>
          <w:tblCellMar>
            <w:top w:w="0" w:type="dxa"/>
            <w:left w:w="108" w:type="dxa"/>
            <w:bottom w:w="0" w:type="dxa"/>
            <w:right w:w="108" w:type="dxa"/>
          </w:tblCellMar>
          <w:tblLook w:val="0000"/>
        </w:tblPrEx>
        <w:trPr>
          <w:trHeight w:val="350"/>
        </w:trPr>
        <w:tc>
          <w:tcPr>
            <w:tcW w:w="493" w:type="pct"/>
            <w:tcBorders>
              <w:top w:val="single" w:sz="4" w:space="0" w:color="auto"/>
              <w:left w:val="single" w:sz="4" w:space="0" w:color="auto"/>
              <w:bottom w:val="single" w:sz="4" w:space="0" w:color="auto"/>
              <w:right w:val="single" w:sz="4" w:space="0" w:color="auto"/>
            </w:tcBorders>
            <w:vAlign w:val="center"/>
          </w:tcPr>
          <w:p>
            <w:pPr>
              <w:jc w:val="center"/>
              <w:rPr>
                <w:rFonts w:ascii="宋体" w:hAnsi="宋体" w:cs="宋体" w:hint="eastAsia"/>
                <w:b/>
                <w:szCs w:val="21"/>
              </w:rPr>
            </w:pPr>
            <w:r>
              <w:rPr>
                <w:rFonts w:ascii="宋体" w:hAnsi="宋体" w:cs="宋体" w:hint="eastAsia"/>
                <w:b/>
                <w:szCs w:val="21"/>
              </w:rPr>
              <w:t>11</w:t>
            </w:r>
          </w:p>
        </w:tc>
        <w:tc>
          <w:tcPr>
            <w:tcW w:w="711" w:type="pct"/>
            <w:tcBorders>
              <w:top w:val="single" w:sz="4" w:space="0" w:color="auto"/>
              <w:left w:val="single" w:sz="4" w:space="0" w:color="auto"/>
              <w:bottom w:val="single" w:sz="4" w:space="0" w:color="auto"/>
              <w:right w:val="single" w:sz="4" w:space="0" w:color="auto"/>
            </w:tcBorders>
            <w:vAlign w:val="center"/>
          </w:tcPr>
          <w:p>
            <w:pPr>
              <w:jc w:val="center"/>
              <w:rPr>
                <w:rFonts w:ascii="宋体" w:hAnsi="宋体" w:cs="宋体" w:hint="eastAsia"/>
                <w:szCs w:val="21"/>
              </w:rPr>
            </w:pPr>
            <w:r>
              <w:rPr>
                <w:rFonts w:ascii="宋体" w:hAnsi="宋体" w:cs="宋体" w:hint="eastAsia"/>
                <w:szCs w:val="21"/>
              </w:rPr>
              <w:t>争议的解决</w:t>
            </w:r>
          </w:p>
        </w:tc>
        <w:tc>
          <w:tcPr>
            <w:tcW w:w="3794" w:type="pct"/>
            <w:tcBorders>
              <w:top w:val="single" w:sz="4" w:space="0" w:color="auto"/>
              <w:left w:val="single" w:sz="4" w:space="0" w:color="auto"/>
              <w:bottom w:val="single" w:sz="4" w:space="0" w:color="auto"/>
              <w:right w:val="single" w:sz="4" w:space="0" w:color="auto"/>
            </w:tcBorders>
          </w:tcPr>
          <w:p>
            <w:pPr>
              <w:spacing w:line="460" w:lineRule="exact"/>
              <w:ind w:firstLine="480" w:firstLineChars="200"/>
              <w:rPr>
                <w:rFonts w:ascii="宋体" w:hAnsi="宋体" w:cs="宋体" w:hint="eastAsia"/>
                <w:szCs w:val="21"/>
              </w:rPr>
            </w:pPr>
            <w:r>
              <w:rPr>
                <w:rFonts w:ascii="宋体" w:hAnsi="宋体" w:cs="宋体" w:hint="eastAsia"/>
                <w:szCs w:val="21"/>
              </w:rPr>
              <w:t>凡因执行项目合同所发生的或与本合同有关的一切争议，双方应通过友好协商解决。</w:t>
            </w:r>
          </w:p>
          <w:p>
            <w:pPr>
              <w:spacing w:line="460" w:lineRule="exact"/>
              <w:ind w:firstLine="480" w:firstLineChars="200"/>
              <w:rPr>
                <w:rFonts w:ascii="宋体" w:hAnsi="宋体" w:cs="宋体" w:hint="eastAsia"/>
                <w:szCs w:val="21"/>
              </w:rPr>
            </w:pPr>
            <w:r>
              <w:rPr>
                <w:rFonts w:ascii="宋体" w:hAnsi="宋体" w:cs="宋体" w:hint="eastAsia"/>
                <w:szCs w:val="21"/>
              </w:rPr>
              <w:t>协商不成时，</w:t>
            </w:r>
            <w:r>
              <w:rPr>
                <w:rFonts w:ascii="宋体" w:hAnsi="宋体" w:cs="宋体" w:hint="eastAsia"/>
                <w:color w:val="000000"/>
                <w:szCs w:val="21"/>
              </w:rPr>
              <w:t>双方均有权向深圳市南山区人民法院提起</w:t>
            </w:r>
            <w:r>
              <w:rPr>
                <w:rFonts w:ascii="宋体" w:hAnsi="宋体" w:cs="宋体" w:hint="eastAsia"/>
                <w:color w:val="000000"/>
                <w:szCs w:val="21"/>
              </w:rPr>
              <w:fldChar w:fldCharType="begin"/>
            </w:r>
            <w:r>
              <w:rPr>
                <w:rFonts w:ascii="宋体" w:hAnsi="宋体" w:cs="宋体" w:hint="eastAsia"/>
                <w:color w:val="000000"/>
                <w:szCs w:val="21"/>
              </w:rPr>
              <w:instrText xml:space="preserve"> HYPERLINK "http://www.64365.com/baike/ss/" \o "诉讼" \t "_blank" </w:instrText>
            </w:r>
            <w:r>
              <w:rPr>
                <w:rFonts w:ascii="宋体" w:hAnsi="宋体" w:cs="宋体" w:hint="eastAsia"/>
                <w:color w:val="000000"/>
                <w:szCs w:val="21"/>
              </w:rPr>
              <w:fldChar w:fldCharType="separate"/>
            </w:r>
            <w:r>
              <w:rPr>
                <w:rFonts w:ascii="宋体" w:hAnsi="宋体" w:cs="宋体" w:hint="eastAsia"/>
                <w:color w:val="000000"/>
                <w:szCs w:val="21"/>
              </w:rPr>
              <w:t>诉讼</w:t>
            </w:r>
            <w:r>
              <w:rPr>
                <w:rFonts w:ascii="宋体" w:hAnsi="宋体" w:cs="宋体" w:hint="eastAsia"/>
                <w:color w:val="000000"/>
                <w:szCs w:val="21"/>
              </w:rPr>
              <w:fldChar w:fldCharType="end"/>
            </w:r>
            <w:r>
              <w:rPr>
                <w:rFonts w:ascii="宋体" w:hAnsi="宋体" w:cs="宋体" w:hint="eastAsia"/>
                <w:color w:val="000000"/>
                <w:szCs w:val="21"/>
              </w:rPr>
              <w:t>。</w:t>
            </w:r>
          </w:p>
        </w:tc>
      </w:tr>
      <w:tr>
        <w:tblPrEx>
          <w:tblW w:w="4998" w:type="pct"/>
          <w:tblCellMar>
            <w:top w:w="0" w:type="dxa"/>
            <w:left w:w="108" w:type="dxa"/>
            <w:bottom w:w="0" w:type="dxa"/>
            <w:right w:w="108" w:type="dxa"/>
          </w:tblCellMar>
          <w:tblLook w:val="0000"/>
        </w:tblPrEx>
        <w:trPr>
          <w:trHeight w:val="350"/>
        </w:trPr>
        <w:tc>
          <w:tcPr>
            <w:tcW w:w="493" w:type="pct"/>
            <w:tcBorders>
              <w:top w:val="single" w:sz="4" w:space="0" w:color="auto"/>
              <w:left w:val="single" w:sz="4" w:space="0" w:color="auto"/>
              <w:bottom w:val="single" w:sz="4" w:space="0" w:color="auto"/>
              <w:right w:val="single" w:sz="4" w:space="0" w:color="auto"/>
            </w:tcBorders>
            <w:vAlign w:val="center"/>
          </w:tcPr>
          <w:p>
            <w:pPr>
              <w:jc w:val="center"/>
              <w:rPr>
                <w:rFonts w:ascii="宋体" w:hAnsi="宋体" w:cs="宋体" w:hint="eastAsia"/>
                <w:b/>
                <w:szCs w:val="21"/>
              </w:rPr>
            </w:pPr>
            <w:r>
              <w:rPr>
                <w:rFonts w:ascii="宋体" w:hAnsi="宋体" w:cs="宋体" w:hint="eastAsia"/>
                <w:b/>
                <w:szCs w:val="21"/>
              </w:rPr>
              <w:t>12</w:t>
            </w:r>
          </w:p>
        </w:tc>
        <w:tc>
          <w:tcPr>
            <w:tcW w:w="711" w:type="pct"/>
            <w:tcBorders>
              <w:top w:val="single" w:sz="4" w:space="0" w:color="auto"/>
              <w:left w:val="single" w:sz="4" w:space="0" w:color="auto"/>
              <w:bottom w:val="single" w:sz="4" w:space="0" w:color="auto"/>
              <w:right w:val="single" w:sz="4" w:space="0" w:color="auto"/>
            </w:tcBorders>
            <w:vAlign w:val="center"/>
          </w:tcPr>
          <w:p>
            <w:pPr>
              <w:jc w:val="center"/>
              <w:rPr>
                <w:rFonts w:ascii="宋体" w:hAnsi="宋体" w:cs="宋体" w:hint="eastAsia"/>
                <w:b/>
                <w:szCs w:val="21"/>
              </w:rPr>
            </w:pPr>
            <w:r>
              <w:rPr>
                <w:rFonts w:ascii="宋体" w:hAnsi="宋体" w:cs="宋体" w:hint="eastAsia"/>
                <w:kern w:val="0"/>
                <w:szCs w:val="21"/>
              </w:rPr>
              <w:t>签</w:t>
            </w:r>
            <w:r>
              <w:rPr>
                <w:rFonts w:ascii="宋体" w:hAnsi="宋体" w:cs="宋体" w:hint="eastAsia"/>
                <w:szCs w:val="21"/>
              </w:rPr>
              <w:t>订合同</w:t>
            </w:r>
          </w:p>
        </w:tc>
        <w:tc>
          <w:tcPr>
            <w:tcW w:w="3794" w:type="pct"/>
            <w:tcBorders>
              <w:top w:val="single" w:sz="4" w:space="0" w:color="auto"/>
              <w:left w:val="single" w:sz="4" w:space="0" w:color="auto"/>
              <w:bottom w:val="single" w:sz="4" w:space="0" w:color="auto"/>
              <w:right w:val="single" w:sz="4" w:space="0" w:color="auto"/>
            </w:tcBorders>
          </w:tcPr>
          <w:p>
            <w:pPr>
              <w:spacing w:line="440" w:lineRule="exact"/>
              <w:ind w:firstLine="420"/>
              <w:rPr>
                <w:rFonts w:ascii="宋体" w:hAnsi="宋体" w:cs="宋体" w:hint="eastAsia"/>
                <w:szCs w:val="21"/>
              </w:rPr>
            </w:pPr>
            <w:r>
              <w:rPr>
                <w:rFonts w:ascii="宋体" w:hAnsi="宋体" w:cs="宋体" w:hint="eastAsia"/>
                <w:szCs w:val="21"/>
              </w:rPr>
              <w:t>中标人须按中标通知书规定的时间、地点与采购人办理合同签订事宜。招标文件、对中标人的询标及其澄清文件等，均为签订采购合同的依据。</w:t>
            </w:r>
          </w:p>
          <w:p>
            <w:pPr>
              <w:spacing w:line="440" w:lineRule="exact"/>
              <w:ind w:firstLine="420"/>
              <w:rPr>
                <w:rFonts w:ascii="宋体" w:hAnsi="宋体" w:cs="宋体" w:hint="eastAsia"/>
                <w:b/>
                <w:szCs w:val="21"/>
              </w:rPr>
            </w:pPr>
            <w:r>
              <w:rPr>
                <w:rFonts w:ascii="宋体" w:hAnsi="宋体" w:cs="宋体" w:hint="eastAsia"/>
                <w:szCs w:val="21"/>
              </w:rPr>
              <w:t>中标人若不按规定时间、地点与采购人办理合同签订事宜，采购人可通过政府集中采购机构废除其中标资格。给采购人造成的损失，还应当予以赔偿并承担相应法律责任。</w:t>
            </w:r>
          </w:p>
        </w:tc>
      </w:tr>
      <w:tr>
        <w:tblPrEx>
          <w:tblW w:w="4998" w:type="pct"/>
          <w:tblCellMar>
            <w:top w:w="0" w:type="dxa"/>
            <w:left w:w="108" w:type="dxa"/>
            <w:bottom w:w="0" w:type="dxa"/>
            <w:right w:w="108" w:type="dxa"/>
          </w:tblCellMar>
          <w:tblLook w:val="0000"/>
        </w:tblPrEx>
        <w:trPr>
          <w:trHeight w:val="350"/>
        </w:trPr>
        <w:tc>
          <w:tcPr>
            <w:tcW w:w="493" w:type="pct"/>
            <w:tcBorders>
              <w:top w:val="single" w:sz="4" w:space="0" w:color="auto"/>
              <w:left w:val="single" w:sz="4" w:space="0" w:color="auto"/>
              <w:bottom w:val="single" w:sz="4" w:space="0" w:color="auto"/>
              <w:right w:val="single" w:sz="4" w:space="0" w:color="auto"/>
            </w:tcBorders>
            <w:vAlign w:val="center"/>
          </w:tcPr>
          <w:p>
            <w:pPr>
              <w:jc w:val="center"/>
              <w:rPr>
                <w:rFonts w:ascii="宋体" w:hAnsi="宋体" w:cs="宋体" w:hint="eastAsia"/>
                <w:b/>
                <w:szCs w:val="21"/>
              </w:rPr>
            </w:pPr>
            <w:r>
              <w:rPr>
                <w:rFonts w:ascii="宋体" w:hAnsi="宋体" w:cs="宋体" w:hint="eastAsia"/>
                <w:b/>
                <w:szCs w:val="21"/>
              </w:rPr>
              <w:t>13</w:t>
            </w:r>
          </w:p>
        </w:tc>
        <w:tc>
          <w:tcPr>
            <w:tcW w:w="711" w:type="pct"/>
            <w:tcBorders>
              <w:top w:val="single" w:sz="4" w:space="0" w:color="auto"/>
              <w:left w:val="single" w:sz="4" w:space="0" w:color="auto"/>
              <w:bottom w:val="single" w:sz="4" w:space="0" w:color="auto"/>
              <w:right w:val="single" w:sz="4" w:space="0" w:color="auto"/>
            </w:tcBorders>
            <w:vAlign w:val="center"/>
          </w:tcPr>
          <w:p>
            <w:pPr>
              <w:jc w:val="center"/>
              <w:rPr>
                <w:rFonts w:ascii="宋体" w:hAnsi="宋体" w:cs="宋体" w:hint="eastAsia"/>
                <w:kern w:val="0"/>
                <w:szCs w:val="21"/>
              </w:rPr>
            </w:pPr>
            <w:r>
              <w:rPr>
                <w:rFonts w:ascii="宋体" w:hAnsi="宋体" w:cs="宋体" w:hint="eastAsia"/>
                <w:kern w:val="0"/>
                <w:szCs w:val="21"/>
              </w:rPr>
              <w:t>合同解除</w:t>
            </w:r>
          </w:p>
        </w:tc>
        <w:tc>
          <w:tcPr>
            <w:tcW w:w="3794" w:type="pct"/>
            <w:tcBorders>
              <w:top w:val="single" w:sz="4" w:space="0" w:color="auto"/>
              <w:left w:val="single" w:sz="4" w:space="0" w:color="auto"/>
              <w:bottom w:val="single" w:sz="4" w:space="0" w:color="auto"/>
              <w:right w:val="single" w:sz="4" w:space="0" w:color="auto"/>
            </w:tcBorders>
          </w:tcPr>
          <w:p>
            <w:pPr>
              <w:spacing w:line="460" w:lineRule="exact"/>
              <w:ind w:firstLine="480" w:firstLineChars="200"/>
              <w:rPr>
                <w:rFonts w:ascii="宋体" w:hAnsi="宋体" w:cs="宋体" w:hint="eastAsia"/>
                <w:color w:val="000000"/>
                <w:szCs w:val="21"/>
              </w:rPr>
            </w:pPr>
            <w:r>
              <w:rPr>
                <w:rFonts w:ascii="宋体" w:hAnsi="宋体" w:cs="宋体" w:hint="eastAsia"/>
                <w:color w:val="000000"/>
                <w:szCs w:val="21"/>
              </w:rPr>
              <w:t>有下列情形之一的，双方可以解除合同：</w:t>
            </w:r>
          </w:p>
          <w:p>
            <w:pPr>
              <w:spacing w:line="460" w:lineRule="exact"/>
              <w:ind w:firstLine="480" w:firstLineChars="200"/>
              <w:rPr>
                <w:rFonts w:ascii="宋体" w:hAnsi="宋体" w:cs="宋体" w:hint="eastAsia"/>
                <w:color w:val="000000"/>
                <w:szCs w:val="21"/>
              </w:rPr>
            </w:pPr>
            <w:r>
              <w:rPr>
                <w:rFonts w:ascii="宋体" w:hAnsi="宋体" w:cs="宋体" w:hint="eastAsia"/>
                <w:color w:val="000000"/>
                <w:szCs w:val="21"/>
              </w:rPr>
              <w:t>（一）因不可抗力致使不能实现合同目的；</w:t>
            </w:r>
          </w:p>
          <w:p>
            <w:pPr>
              <w:spacing w:line="460" w:lineRule="exact"/>
              <w:ind w:firstLine="480" w:firstLineChars="200"/>
              <w:rPr>
                <w:rFonts w:ascii="宋体" w:hAnsi="宋体" w:cs="宋体" w:hint="eastAsia"/>
                <w:color w:val="000000"/>
                <w:szCs w:val="21"/>
              </w:rPr>
            </w:pPr>
            <w:r>
              <w:rPr>
                <w:rFonts w:ascii="宋体" w:hAnsi="宋体" w:cs="宋体" w:hint="eastAsia"/>
                <w:color w:val="000000"/>
                <w:szCs w:val="21"/>
              </w:rPr>
              <w:t>（二）由于中标人的原因未能在本合同约定的交货期或工期交货或移交的，逾期超过 15 个日历日仍不能交货或移交的；中标人所交付的产品品种、型号、规格、质量不符合同规定标准的，并经过15个日历日整改仍不达标的，采购人有权解除合同并要求中标人承担相应的违约责任及由此给采购人造成的其他经济损失。</w:t>
            </w:r>
          </w:p>
          <w:p>
            <w:pPr>
              <w:spacing w:line="460" w:lineRule="exact"/>
              <w:ind w:firstLine="480" w:firstLineChars="200"/>
              <w:rPr>
                <w:rFonts w:ascii="宋体" w:hAnsi="宋体" w:cs="宋体" w:hint="eastAsia"/>
                <w:color w:val="000000"/>
                <w:szCs w:val="21"/>
              </w:rPr>
            </w:pPr>
            <w:r>
              <w:rPr>
                <w:rFonts w:ascii="宋体" w:hAnsi="宋体" w:cs="宋体" w:hint="eastAsia"/>
                <w:color w:val="000000"/>
                <w:szCs w:val="21"/>
              </w:rPr>
              <w:t>（三）法律规定的其他情形。</w:t>
            </w:r>
          </w:p>
        </w:tc>
      </w:tr>
      <w:tr>
        <w:tblPrEx>
          <w:tblW w:w="4998" w:type="pct"/>
          <w:tblCellMar>
            <w:top w:w="0" w:type="dxa"/>
            <w:left w:w="108" w:type="dxa"/>
            <w:bottom w:w="0" w:type="dxa"/>
            <w:right w:w="108" w:type="dxa"/>
          </w:tblCellMar>
          <w:tblLook w:val="0000"/>
        </w:tblPrEx>
        <w:trPr>
          <w:trHeight w:val="350"/>
        </w:trPr>
        <w:tc>
          <w:tcPr>
            <w:tcW w:w="841" w:type="dxa"/>
            <w:tcBorders>
              <w:top w:val="single" w:sz="4" w:space="0" w:color="auto"/>
              <w:left w:val="single" w:sz="4" w:space="0" w:color="auto"/>
              <w:bottom w:val="single" w:sz="4" w:space="0" w:color="auto"/>
              <w:right w:val="single" w:sz="4" w:space="0" w:color="auto"/>
            </w:tcBorders>
            <w:vAlign w:val="center"/>
          </w:tcPr>
          <w:p>
            <w:pPr>
              <w:jc w:val="center"/>
              <w:rPr>
                <w:rFonts w:ascii="宋体" w:hAnsi="宋体" w:cs="宋体" w:hint="eastAsia"/>
                <w:b/>
                <w:szCs w:val="21"/>
              </w:rPr>
            </w:pPr>
            <w:r>
              <w:rPr>
                <w:rFonts w:ascii="宋体" w:hAnsi="宋体" w:cs="宋体" w:hint="eastAsia"/>
                <w:b/>
                <w:szCs w:val="21"/>
              </w:rPr>
              <w:t>14</w:t>
            </w:r>
          </w:p>
        </w:tc>
        <w:tc>
          <w:tcPr>
            <w:tcW w:w="1214" w:type="dxa"/>
            <w:tcBorders>
              <w:top w:val="single" w:sz="4" w:space="0" w:color="auto"/>
              <w:left w:val="single" w:sz="4" w:space="0" w:color="auto"/>
              <w:bottom w:val="single" w:sz="4" w:space="0" w:color="auto"/>
              <w:right w:val="single" w:sz="4" w:space="0" w:color="auto"/>
            </w:tcBorders>
            <w:vAlign w:val="center"/>
          </w:tcPr>
          <w:p>
            <w:pPr>
              <w:jc w:val="center"/>
              <w:rPr>
                <w:rFonts w:ascii="宋体" w:hAnsi="宋体" w:cs="宋体" w:hint="eastAsia"/>
                <w:kern w:val="0"/>
                <w:szCs w:val="21"/>
              </w:rPr>
            </w:pPr>
            <w:r>
              <w:rPr>
                <w:rFonts w:ascii="宋体" w:hAnsi="宋体" w:cs="宋体" w:hint="eastAsia"/>
                <w:b/>
                <w:bCs/>
                <w:szCs w:val="21"/>
              </w:rPr>
              <w:t>保修、维修承诺函</w:t>
            </w:r>
          </w:p>
        </w:tc>
        <w:tc>
          <w:tcPr>
            <w:tcW w:w="6471" w:type="dxa"/>
            <w:tcBorders>
              <w:top w:val="single" w:sz="4" w:space="0" w:color="auto"/>
              <w:left w:val="single" w:sz="4" w:space="0" w:color="auto"/>
              <w:bottom w:val="single" w:sz="4" w:space="0" w:color="auto"/>
              <w:right w:val="single" w:sz="4" w:space="0" w:color="auto"/>
            </w:tcBorders>
          </w:tcPr>
          <w:p>
            <w:pPr>
              <w:spacing w:line="360" w:lineRule="auto"/>
              <w:rPr>
                <w:rFonts w:ascii="宋体" w:hAnsi="宋体" w:cs="宋体" w:hint="eastAsia"/>
                <w:color w:val="000000"/>
                <w:szCs w:val="21"/>
              </w:rPr>
            </w:pPr>
            <w:r>
              <w:rPr>
                <w:rFonts w:ascii="宋体" w:hAnsi="宋体" w:cs="宋体" w:hint="eastAsia"/>
                <w:b/>
                <w:bCs/>
                <w:szCs w:val="21"/>
              </w:rPr>
              <w:t xml:space="preserve">★若所投产品为进口，则投标人必须提供由设备制造商或授权的中国代理商签署的合法有效的保修、维修承诺函；若所投产品为国产产品，则无需提供。               </w:t>
            </w:r>
          </w:p>
        </w:tc>
      </w:tr>
    </w:tbl>
    <w:p>
      <w:pPr>
        <w:pStyle w:val="BodyText"/>
        <w:rPr>
          <w:rFonts w:ascii="宋体" w:hAnsi="宋体" w:cs="宋体" w:hint="eastAsia"/>
        </w:rPr>
      </w:pPr>
      <w:r>
        <w:rPr>
          <w:rFonts w:ascii="宋体" w:hAnsi="宋体" w:cs="宋体" w:hint="eastAsia"/>
        </w:rPr>
        <w:br w:type="page"/>
      </w:r>
    </w:p>
    <w:p>
      <w:pPr>
        <w:pStyle w:val="Heading2"/>
        <w:rPr>
          <w:rFonts w:cs="宋体" w:hint="eastAsia"/>
        </w:rPr>
      </w:pPr>
      <w:r>
        <w:rPr>
          <w:rFonts w:cs="宋体" w:hint="eastAsia"/>
        </w:rPr>
        <w:t>第三章 投标文件格式、附件</w:t>
      </w:r>
    </w:p>
    <w:p>
      <w:pPr>
        <w:rPr>
          <w:rFonts w:ascii="黑体" w:eastAsia="黑体"/>
          <w:bCs/>
          <w:sz w:val="24"/>
        </w:rPr>
      </w:pPr>
      <w:bookmarkStart w:id="31" w:name="_Hlk86246764"/>
      <w:r>
        <w:rPr>
          <w:rFonts w:ascii="黑体" w:eastAsia="黑体" w:hint="eastAsia"/>
          <w:bCs/>
          <w:sz w:val="24"/>
        </w:rPr>
        <w:t>特别提醒：</w:t>
      </w:r>
    </w:p>
    <w:p>
      <w:pPr>
        <w:ind w:firstLine="480"/>
        <w:rPr>
          <w:rFonts w:ascii="仿宋_GB2312" w:eastAsia="仿宋_GB2312"/>
          <w:sz w:val="24"/>
        </w:rPr>
      </w:pPr>
      <w:r>
        <w:rPr>
          <w:rFonts w:ascii="仿宋_GB2312" w:eastAsia="仿宋_GB2312" w:hint="eastAsia"/>
          <w:sz w:val="24"/>
        </w:rPr>
        <w:t>投标文件正文将对外公开，投标文件附件不公开。投标人在编辑投标文件时，在投标文件目录中属于本节点内容的必须在本节点中填写，填写到其他节点或附件的将可能导致投标无效，一切后果由供应商自行承担。</w:t>
      </w:r>
    </w:p>
    <w:p>
      <w:pPr>
        <w:rPr>
          <w:rFonts w:ascii="仿宋_GB2312" w:eastAsia="仿宋_GB2312"/>
          <w:sz w:val="24"/>
        </w:rPr>
      </w:pPr>
      <w:r>
        <w:rPr>
          <w:rFonts w:ascii="仿宋_GB2312" w:eastAsia="仿宋_GB2312" w:hint="eastAsia"/>
          <w:sz w:val="24"/>
        </w:rPr>
        <w:t xml:space="preserve">    投标文件正文（信息公开部分）必须编制于“投标书目录”部分，投标文件附件（非信息公开部分）必须编制于“投标书附件”部分，如下图所示。</w:t>
      </w:r>
    </w:p>
    <w:p>
      <w:pPr>
        <w:widowControl/>
        <w:jc w:val="left"/>
        <w:rPr>
          <w:rFonts w:ascii="宋体" w:hAnsi="宋体" w:cs="宋体"/>
          <w:kern w:val="0"/>
          <w:sz w:val="24"/>
        </w:rPr>
      </w:pPr>
      <w:r>
        <w:rPr>
          <w:rFonts w:ascii="仿宋_GB2312" w:eastAsia="仿宋_GB2312"/>
          <w:sz w:val="24"/>
        </w:rPr>
        <w:pict>
          <v:shape id="图片 8" o:spid="_x0000_i1026" type="#_x0000_t75" alt="图形用户界面, 应用程序&#10;&#10;描述已自动生成" style="height:324.9pt;mso-position-horizontal-relative:page;mso-position-vertical-relative:page;mso-wrap-style:square;width:415.66pt" o:preferrelative="t" filled="f" stroked="f">
            <v:stroke linestyle="single"/>
            <v:imagedata r:id="rId5" o:title="图形用户界面, 应用程序&#10;&#10;描述已自动生成"/>
            <v:path o:extrusionok="f"/>
            <o:lock v:ext="edit" aspectratio="t"/>
          </v:shape>
        </w:pict>
      </w:r>
    </w:p>
    <w:p>
      <w:pPr>
        <w:rPr>
          <w:rFonts w:ascii="仿宋_GB2312" w:eastAsia="仿宋_GB2312"/>
          <w:sz w:val="24"/>
        </w:rPr>
      </w:pPr>
    </w:p>
    <w:p>
      <w:pPr>
        <w:jc w:val="center"/>
        <w:rPr>
          <w:rFonts w:ascii="仿宋_GB2312" w:eastAsia="仿宋_GB2312"/>
          <w:sz w:val="24"/>
        </w:rPr>
      </w:pPr>
    </w:p>
    <w:p>
      <w:pPr>
        <w:ind w:firstLine="480"/>
        <w:rPr>
          <w:rFonts w:ascii="仿宋_GB2312" w:eastAsia="仿宋_GB2312"/>
          <w:sz w:val="24"/>
        </w:rPr>
      </w:pPr>
      <w:bookmarkStart w:id="32" w:name="_Hlk72257167"/>
      <w:r>
        <w:rPr>
          <w:rFonts w:ascii="仿宋_GB2312" w:eastAsia="仿宋_GB2312" w:hint="eastAsia"/>
          <w:sz w:val="24"/>
        </w:rPr>
        <w:t>我公司将公布投标文件正文（信息公开部分）时为计算机截取信息自动公布，</w:t>
      </w:r>
      <w:r>
        <w:rPr>
          <w:rFonts w:ascii="仿宋_GB2312" w:eastAsia="仿宋_GB2312" w:hint="eastAsia"/>
          <w:b/>
          <w:bCs/>
          <w:sz w:val="24"/>
        </w:rPr>
        <w:t>如投标人误将涉及个人隐私的信息放入投标文件正文，相关后果由投标人自负；</w:t>
      </w:r>
      <w:r>
        <w:rPr>
          <w:rFonts w:ascii="仿宋_GB2312" w:eastAsia="仿宋_GB2312" w:hint="eastAsia"/>
          <w:sz w:val="24"/>
        </w:rPr>
        <w:t>如投标人将必须放于投标文件正文（信息公开部分）的内容放入投标文件附件（非信息公开部分），将作投标无效处理。</w:t>
      </w:r>
    </w:p>
    <w:p>
      <w:pPr>
        <w:rPr>
          <w:rStyle w:val="3Char"/>
          <w:rFonts w:ascii="宋体" w:eastAsia="宋体" w:hAnsi="宋体" w:cs="宋体" w:hint="eastAsia"/>
          <w:sz w:val="28"/>
          <w:szCs w:val="28"/>
        </w:rPr>
      </w:pPr>
      <w:bookmarkEnd w:id="31"/>
      <w:bookmarkEnd w:id="32"/>
      <w:r>
        <w:rPr>
          <w:rStyle w:val="3Char"/>
          <w:rFonts w:ascii="宋体" w:eastAsia="宋体" w:hAnsi="宋体" w:cs="宋体" w:hint="eastAsia"/>
          <w:sz w:val="28"/>
          <w:szCs w:val="28"/>
        </w:rPr>
        <w:br w:type="page"/>
      </w:r>
    </w:p>
    <w:p>
      <w:pPr>
        <w:rPr>
          <w:rStyle w:val="3Char"/>
          <w:rFonts w:ascii="宋体" w:eastAsia="宋体" w:hAnsi="宋体" w:cs="宋体" w:hint="eastAsia"/>
          <w:b/>
          <w:bCs w:val="0"/>
          <w:sz w:val="28"/>
          <w:szCs w:val="28"/>
        </w:rPr>
      </w:pPr>
      <w:r>
        <w:rPr>
          <w:rStyle w:val="3Char"/>
          <w:rFonts w:ascii="宋体" w:eastAsia="宋体" w:hAnsi="宋体" w:cs="宋体" w:hint="eastAsia"/>
          <w:b/>
          <w:bCs w:val="0"/>
          <w:sz w:val="28"/>
          <w:szCs w:val="28"/>
        </w:rPr>
        <w:t>投标文件组成：</w:t>
      </w:r>
    </w:p>
    <w:p>
      <w:pPr>
        <w:pStyle w:val="BodyText"/>
        <w:rPr>
          <w:rFonts w:ascii="宋体" w:hAnsi="宋体" w:cs="宋体" w:hint="eastAsia"/>
        </w:rPr>
      </w:pPr>
    </w:p>
    <w:p>
      <w:pPr>
        <w:adjustRightInd w:val="0"/>
        <w:snapToGrid w:val="0"/>
        <w:spacing w:line="360" w:lineRule="auto"/>
        <w:rPr>
          <w:rFonts w:ascii="宋体" w:hAnsi="宋体" w:cs="宋体" w:hint="eastAsia"/>
          <w:szCs w:val="21"/>
        </w:rPr>
      </w:pPr>
      <w:r>
        <w:rPr>
          <w:rFonts w:ascii="宋体" w:hAnsi="宋体" w:cs="宋体" w:hint="eastAsia"/>
          <w:szCs w:val="21"/>
        </w:rPr>
        <w:t>1.投标文件正文（信息公开部分），主要包括以下内容：</w:t>
      </w:r>
    </w:p>
    <w:p>
      <w:pPr>
        <w:pStyle w:val="NormalIndent"/>
        <w:adjustRightInd w:val="0"/>
        <w:snapToGrid w:val="0"/>
        <w:spacing w:line="360" w:lineRule="auto"/>
        <w:ind w:firstLine="1133" w:firstLineChars="472"/>
        <w:rPr>
          <w:rFonts w:ascii="宋体" w:hAnsi="宋体" w:cs="宋体" w:hint="eastAsia"/>
          <w:szCs w:val="21"/>
        </w:rPr>
      </w:pPr>
      <w:r>
        <w:rPr>
          <w:rFonts w:ascii="宋体" w:hAnsi="宋体" w:cs="宋体" w:hint="eastAsia"/>
          <w:szCs w:val="21"/>
        </w:rPr>
        <w:t>（1）投标函</w:t>
      </w:r>
    </w:p>
    <w:p>
      <w:pPr>
        <w:pStyle w:val="NormalIndent"/>
        <w:adjustRightInd w:val="0"/>
        <w:snapToGrid w:val="0"/>
        <w:spacing w:line="360" w:lineRule="auto"/>
        <w:ind w:firstLine="1133" w:firstLineChars="472"/>
        <w:rPr>
          <w:rFonts w:ascii="宋体" w:hAnsi="宋体" w:cs="宋体" w:hint="eastAsia"/>
          <w:szCs w:val="21"/>
        </w:rPr>
      </w:pPr>
      <w:r>
        <w:rPr>
          <w:rFonts w:ascii="宋体" w:hAnsi="宋体" w:cs="宋体" w:hint="eastAsia"/>
          <w:szCs w:val="21"/>
        </w:rPr>
        <w:t>（2）政府采购投标及履约承诺函</w:t>
      </w:r>
    </w:p>
    <w:p>
      <w:pPr>
        <w:pStyle w:val="NormalIndent"/>
        <w:adjustRightInd w:val="0"/>
        <w:snapToGrid w:val="0"/>
        <w:spacing w:line="360" w:lineRule="auto"/>
        <w:ind w:firstLine="1133" w:firstLineChars="472"/>
        <w:rPr>
          <w:rFonts w:ascii="宋体" w:hAnsi="宋体" w:cs="宋体" w:hint="eastAsia"/>
          <w:szCs w:val="21"/>
        </w:rPr>
      </w:pPr>
      <w:r>
        <w:rPr>
          <w:rFonts w:ascii="宋体" w:hAnsi="宋体" w:cs="宋体" w:hint="eastAsia"/>
          <w:szCs w:val="21"/>
        </w:rPr>
        <w:t>（3）诚信承诺函</w:t>
      </w:r>
    </w:p>
    <w:p>
      <w:pPr>
        <w:pStyle w:val="NormalIndent"/>
        <w:adjustRightInd w:val="0"/>
        <w:snapToGrid w:val="0"/>
        <w:spacing w:line="360" w:lineRule="auto"/>
        <w:ind w:firstLine="1133" w:firstLineChars="472"/>
        <w:rPr>
          <w:rFonts w:ascii="宋体" w:hAnsi="宋体" w:cs="宋体" w:hint="eastAsia"/>
          <w:szCs w:val="21"/>
        </w:rPr>
      </w:pPr>
      <w:r>
        <w:rPr>
          <w:rFonts w:ascii="宋体" w:hAnsi="宋体" w:cs="宋体" w:hint="eastAsia"/>
          <w:szCs w:val="21"/>
        </w:rPr>
        <w:t>（4）资格要求证明材料</w:t>
      </w:r>
    </w:p>
    <w:p>
      <w:pPr>
        <w:pStyle w:val="NormalIndent"/>
        <w:adjustRightInd w:val="0"/>
        <w:snapToGrid w:val="0"/>
        <w:spacing w:line="360" w:lineRule="auto"/>
        <w:ind w:firstLine="1133" w:firstLineChars="472"/>
        <w:rPr>
          <w:rFonts w:ascii="宋体" w:hAnsi="宋体" w:cs="宋体" w:hint="eastAsia"/>
          <w:szCs w:val="21"/>
        </w:rPr>
      </w:pPr>
      <w:r>
        <w:rPr>
          <w:rFonts w:ascii="宋体" w:hAnsi="宋体" w:cs="宋体" w:hint="eastAsia"/>
          <w:szCs w:val="21"/>
        </w:rPr>
        <w:t>（5）中小企业声明函及残疾人福利性单位声明函（或省级以上监狱管理局、戒毒管理局（含新疆生产建设兵团）出具的属于监狱企业的证明文件）</w:t>
      </w:r>
    </w:p>
    <w:p>
      <w:pPr>
        <w:adjustRightInd w:val="0"/>
        <w:snapToGrid w:val="0"/>
        <w:spacing w:line="360" w:lineRule="auto"/>
        <w:rPr>
          <w:rFonts w:ascii="宋体" w:hAnsi="宋体" w:cs="宋体" w:hint="eastAsia"/>
          <w:szCs w:val="21"/>
        </w:rPr>
      </w:pPr>
      <w:r>
        <w:rPr>
          <w:rFonts w:ascii="宋体" w:hAnsi="宋体" w:cs="宋体" w:hint="eastAsia"/>
          <w:szCs w:val="21"/>
        </w:rPr>
        <w:t>2.投标文件附件（信息不公开部分，此部分内容请以附件形式上传），主要包括以下内容：</w:t>
      </w:r>
    </w:p>
    <w:p>
      <w:pPr>
        <w:pStyle w:val="NormalIndent"/>
        <w:adjustRightInd w:val="0"/>
        <w:snapToGrid w:val="0"/>
        <w:spacing w:line="360" w:lineRule="auto"/>
        <w:ind w:firstLine="1133" w:firstLineChars="472"/>
        <w:rPr>
          <w:rFonts w:ascii="宋体" w:hAnsi="宋体" w:cs="宋体" w:hint="eastAsia"/>
          <w:szCs w:val="21"/>
        </w:rPr>
      </w:pPr>
      <w:r>
        <w:rPr>
          <w:rFonts w:ascii="宋体" w:hAnsi="宋体" w:cs="宋体" w:hint="eastAsia"/>
          <w:szCs w:val="21"/>
        </w:rPr>
        <w:t>（1）法定代表人证明书</w:t>
      </w:r>
    </w:p>
    <w:p>
      <w:pPr>
        <w:pStyle w:val="NormalIndent"/>
        <w:adjustRightInd w:val="0"/>
        <w:snapToGrid w:val="0"/>
        <w:spacing w:line="360" w:lineRule="auto"/>
        <w:ind w:firstLine="1133" w:firstLineChars="472"/>
        <w:rPr>
          <w:rFonts w:ascii="宋体" w:hAnsi="宋体" w:cs="宋体" w:hint="eastAsia"/>
          <w:szCs w:val="21"/>
        </w:rPr>
      </w:pPr>
      <w:r>
        <w:rPr>
          <w:rFonts w:ascii="宋体" w:hAnsi="宋体" w:cs="宋体" w:hint="eastAsia"/>
          <w:szCs w:val="21"/>
        </w:rPr>
        <w:t>（2）投标文件签署授权委托书</w:t>
      </w:r>
    </w:p>
    <w:p>
      <w:pPr>
        <w:pStyle w:val="NormalIndent"/>
        <w:adjustRightInd w:val="0"/>
        <w:snapToGrid w:val="0"/>
        <w:spacing w:line="360" w:lineRule="auto"/>
        <w:ind w:firstLine="1133" w:firstLineChars="472"/>
        <w:rPr>
          <w:rFonts w:ascii="宋体" w:hAnsi="宋体" w:cs="宋体" w:hint="eastAsia"/>
          <w:szCs w:val="21"/>
        </w:rPr>
      </w:pPr>
      <w:r>
        <w:rPr>
          <w:rFonts w:ascii="宋体" w:hAnsi="宋体" w:cs="宋体" w:hint="eastAsia"/>
          <w:szCs w:val="21"/>
        </w:rPr>
        <w:t>（3）投标人情况介绍</w:t>
      </w:r>
    </w:p>
    <w:p>
      <w:pPr>
        <w:pStyle w:val="NormalIndent"/>
        <w:adjustRightInd w:val="0"/>
        <w:snapToGrid w:val="0"/>
        <w:spacing w:line="360" w:lineRule="auto"/>
        <w:ind w:firstLine="1133" w:firstLineChars="472"/>
        <w:rPr>
          <w:rFonts w:ascii="宋体" w:hAnsi="宋体" w:cs="宋体" w:hint="eastAsia"/>
          <w:szCs w:val="21"/>
        </w:rPr>
      </w:pPr>
      <w:r>
        <w:rPr>
          <w:rFonts w:ascii="宋体" w:hAnsi="宋体" w:cs="宋体" w:hint="eastAsia"/>
          <w:szCs w:val="21"/>
        </w:rPr>
        <w:t>（4）政府采购违法行为风险知悉确认书</w:t>
      </w:r>
    </w:p>
    <w:p>
      <w:pPr>
        <w:pStyle w:val="NormalIndent"/>
        <w:adjustRightInd w:val="0"/>
        <w:snapToGrid w:val="0"/>
        <w:spacing w:line="360" w:lineRule="auto"/>
        <w:ind w:firstLine="1133" w:firstLineChars="472"/>
        <w:rPr>
          <w:rFonts w:ascii="宋体" w:hAnsi="宋体" w:cs="宋体" w:hint="eastAsia"/>
          <w:szCs w:val="21"/>
        </w:rPr>
      </w:pPr>
      <w:r>
        <w:rPr>
          <w:rFonts w:ascii="宋体" w:hAnsi="宋体" w:cs="宋体" w:hint="eastAsia"/>
          <w:szCs w:val="21"/>
        </w:rPr>
        <w:t>（5）详细分项报价清单</w:t>
      </w:r>
    </w:p>
    <w:p>
      <w:pPr>
        <w:pStyle w:val="NormalIndent"/>
        <w:adjustRightInd w:val="0"/>
        <w:snapToGrid w:val="0"/>
        <w:spacing w:line="360" w:lineRule="auto"/>
        <w:ind w:firstLine="1133" w:firstLineChars="472"/>
        <w:rPr>
          <w:rFonts w:ascii="宋体" w:hAnsi="宋体" w:cs="宋体" w:hint="eastAsia"/>
          <w:szCs w:val="21"/>
        </w:rPr>
      </w:pPr>
      <w:r>
        <w:rPr>
          <w:rFonts w:ascii="宋体" w:hAnsi="宋体" w:cs="宋体" w:hint="eastAsia"/>
          <w:szCs w:val="21"/>
        </w:rPr>
        <w:t>（6）技术规格偏离表</w:t>
      </w:r>
    </w:p>
    <w:p>
      <w:pPr>
        <w:pStyle w:val="NormalIndent"/>
        <w:adjustRightInd w:val="0"/>
        <w:snapToGrid w:val="0"/>
        <w:spacing w:line="360" w:lineRule="auto"/>
        <w:ind w:firstLine="1133" w:firstLineChars="472"/>
        <w:rPr>
          <w:rFonts w:ascii="宋体" w:hAnsi="宋体" w:cs="宋体" w:hint="eastAsia"/>
          <w:szCs w:val="21"/>
        </w:rPr>
      </w:pPr>
      <w:r>
        <w:rPr>
          <w:rFonts w:ascii="宋体" w:hAnsi="宋体" w:cs="宋体" w:hint="eastAsia"/>
          <w:szCs w:val="21"/>
        </w:rPr>
        <w:t>（7）商务条款偏离表</w:t>
      </w:r>
    </w:p>
    <w:p>
      <w:pPr>
        <w:pStyle w:val="NormalIndent"/>
        <w:adjustRightInd w:val="0"/>
        <w:snapToGrid w:val="0"/>
        <w:spacing w:line="360" w:lineRule="auto"/>
        <w:ind w:firstLine="1133" w:firstLineChars="472"/>
        <w:rPr>
          <w:rFonts w:ascii="宋体" w:hAnsi="宋体" w:cs="宋体" w:hint="eastAsia"/>
          <w:color w:val="000000"/>
          <w:kern w:val="0"/>
          <w:szCs w:val="21"/>
        </w:rPr>
      </w:pPr>
      <w:r>
        <w:rPr>
          <w:rFonts w:ascii="宋体" w:hAnsi="宋体" w:cs="宋体" w:hint="eastAsia"/>
          <w:szCs w:val="21"/>
        </w:rPr>
        <w:t>（8）技术保障措施</w:t>
      </w:r>
      <w:r>
        <w:rPr>
          <w:rFonts w:hint="eastAsia"/>
        </w:rPr>
        <w:t>（</w:t>
      </w:r>
      <w:r>
        <w:rPr>
          <w:rFonts w:ascii="宋体" w:hAnsi="宋体" w:cs="宋体" w:hint="eastAsia"/>
          <w:szCs w:val="21"/>
        </w:rPr>
        <w:t>格式自定</w:t>
      </w:r>
      <w:r>
        <w:rPr>
          <w:rFonts w:hint="eastAsia"/>
        </w:rPr>
        <w:t>）</w:t>
      </w:r>
    </w:p>
    <w:p>
      <w:pPr>
        <w:pStyle w:val="NormalIndent"/>
        <w:adjustRightInd w:val="0"/>
        <w:snapToGrid w:val="0"/>
        <w:spacing w:line="360" w:lineRule="auto"/>
        <w:ind w:firstLine="1133" w:firstLineChars="472"/>
        <w:rPr>
          <w:rFonts w:ascii="宋体" w:hAnsi="宋体" w:cs="宋体" w:hint="eastAsia"/>
          <w:color w:val="000000"/>
          <w:kern w:val="0"/>
          <w:szCs w:val="21"/>
        </w:rPr>
      </w:pPr>
      <w:r>
        <w:rPr>
          <w:rFonts w:ascii="宋体" w:hAnsi="宋体" w:cs="宋体" w:hint="eastAsia"/>
          <w:color w:val="000000"/>
          <w:kern w:val="0"/>
          <w:szCs w:val="21"/>
        </w:rPr>
        <w:t>（9）同类业绩（</w:t>
      </w:r>
      <w:r>
        <w:rPr>
          <w:rFonts w:ascii="宋体" w:hAnsi="宋体" w:cs="宋体" w:hint="eastAsia"/>
          <w:szCs w:val="21"/>
        </w:rPr>
        <w:t>格式自定</w:t>
      </w:r>
      <w:r>
        <w:rPr>
          <w:rFonts w:ascii="宋体" w:hAnsi="宋体" w:cs="宋体" w:hint="eastAsia"/>
          <w:color w:val="000000"/>
          <w:kern w:val="0"/>
          <w:szCs w:val="21"/>
        </w:rPr>
        <w:t>）</w:t>
      </w:r>
    </w:p>
    <w:p>
      <w:pPr>
        <w:pStyle w:val="NormalIndent"/>
        <w:adjustRightInd w:val="0"/>
        <w:snapToGrid w:val="0"/>
        <w:spacing w:line="360" w:lineRule="auto"/>
        <w:ind w:firstLine="1133" w:firstLineChars="472"/>
        <w:rPr>
          <w:rFonts w:ascii="宋体" w:hAnsi="宋体" w:cs="宋体" w:hint="eastAsia"/>
          <w:szCs w:val="21"/>
        </w:rPr>
      </w:pPr>
      <w:r>
        <w:rPr>
          <w:rFonts w:ascii="宋体" w:hAnsi="宋体" w:cs="宋体" w:hint="eastAsia"/>
          <w:szCs w:val="21"/>
        </w:rPr>
        <w:t>（10）其它招标文件要求的内容及投标人认为需要补充的内容（格式自定）</w:t>
      </w:r>
    </w:p>
    <w:p>
      <w:pPr>
        <w:rPr>
          <w:rFonts w:ascii="宋体" w:hAnsi="宋体" w:cs="宋体" w:hint="eastAsia"/>
          <w:sz w:val="24"/>
        </w:rPr>
      </w:pPr>
    </w:p>
    <w:p>
      <w:pPr>
        <w:rPr>
          <w:rFonts w:ascii="宋体" w:hAnsi="宋体" w:cs="宋体" w:hint="eastAsia"/>
          <w:b/>
          <w:bCs/>
          <w:color w:val="FF0000"/>
          <w:sz w:val="24"/>
        </w:rPr>
      </w:pPr>
      <w:r>
        <w:rPr>
          <w:rFonts w:ascii="宋体" w:hAnsi="宋体" w:cs="宋体" w:hint="eastAsia"/>
          <w:b/>
          <w:bCs/>
          <w:szCs w:val="21"/>
        </w:rPr>
        <w:t>注：具体按评分信息设置标书节点</w:t>
      </w:r>
    </w:p>
    <w:p>
      <w:pPr>
        <w:ind w:firstLine="485" w:firstLineChars="202"/>
        <w:rPr>
          <w:rFonts w:ascii="宋体" w:hAnsi="宋体" w:hint="eastAsia"/>
          <w:b/>
          <w:szCs w:val="21"/>
        </w:rPr>
      </w:pPr>
    </w:p>
    <w:p>
      <w:pPr>
        <w:ind w:firstLine="485" w:firstLineChars="202"/>
        <w:rPr>
          <w:rFonts w:ascii="宋体" w:hAnsi="宋体"/>
          <w:b/>
          <w:szCs w:val="21"/>
        </w:rPr>
      </w:pPr>
      <w:r>
        <w:rPr>
          <w:rFonts w:ascii="宋体" w:hAnsi="宋体" w:hint="eastAsia"/>
          <w:b/>
          <w:szCs w:val="21"/>
        </w:rPr>
        <w:t>备注：</w:t>
      </w:r>
    </w:p>
    <w:p>
      <w:pPr>
        <w:ind w:firstLine="485" w:firstLineChars="202"/>
        <w:rPr>
          <w:rFonts w:ascii="宋体" w:hAnsi="宋体"/>
          <w:b/>
          <w:szCs w:val="21"/>
        </w:rPr>
      </w:pPr>
      <w:r>
        <w:rPr>
          <w:rFonts w:ascii="宋体" w:hAnsi="宋体" w:hint="eastAsia"/>
          <w:b/>
          <w:szCs w:val="21"/>
        </w:rPr>
        <w:t>1.本项目为网上电子投标项目，投标文件不需法人或授权委托人另行签字，无需加盖单位公章，招标文件专用条款另有规定的除外。</w:t>
      </w:r>
    </w:p>
    <w:p>
      <w:pPr>
        <w:ind w:firstLine="485" w:firstLineChars="202"/>
        <w:rPr>
          <w:rFonts w:ascii="宋体" w:hAnsi="宋体"/>
          <w:b/>
          <w:szCs w:val="21"/>
        </w:rPr>
      </w:pPr>
      <w:r>
        <w:rPr>
          <w:rFonts w:ascii="宋体" w:hAnsi="宋体" w:hint="eastAsia"/>
          <w:b/>
          <w:szCs w:val="21"/>
        </w:rPr>
        <w:t>2.关于填写“开标一览表”的说明：“开标一览表”中除“投标总价”外，其他信息不作评审依据。</w:t>
      </w:r>
    </w:p>
    <w:p>
      <w:pPr>
        <w:rPr>
          <w:rFonts w:ascii="宋体" w:hAnsi="宋体" w:cs="宋体" w:hint="eastAsia"/>
          <w:b/>
          <w:color w:val="FF0000"/>
          <w:sz w:val="28"/>
          <w:szCs w:val="28"/>
        </w:rPr>
      </w:pPr>
      <w:r>
        <w:rPr>
          <w:rFonts w:ascii="宋体" w:hAnsi="宋体" w:cs="宋体" w:hint="eastAsia"/>
          <w:b/>
          <w:color w:val="FF0000"/>
          <w:sz w:val="28"/>
          <w:szCs w:val="28"/>
        </w:rPr>
        <w:br w:type="page"/>
      </w:r>
    </w:p>
    <w:p>
      <w:pPr>
        <w:jc w:val="center"/>
        <w:outlineLvl w:val="2"/>
        <w:rPr>
          <w:rFonts w:ascii="宋体" w:hAnsi="宋体" w:cs="宋体" w:hint="eastAsia"/>
          <w:b/>
          <w:color w:val="FF0000"/>
          <w:szCs w:val="21"/>
        </w:rPr>
      </w:pPr>
      <w:r>
        <w:rPr>
          <w:rFonts w:ascii="宋体" w:hAnsi="宋体" w:cs="宋体" w:hint="eastAsia"/>
          <w:b/>
          <w:color w:val="FF0000"/>
          <w:szCs w:val="21"/>
        </w:rPr>
        <w:t>投标文件正文（信息公开部分）</w:t>
      </w:r>
    </w:p>
    <w:p>
      <w:pPr>
        <w:pStyle w:val="BodyText"/>
        <w:rPr>
          <w:rFonts w:ascii="宋体" w:hAnsi="宋体" w:cs="宋体" w:hint="eastAsia"/>
          <w:sz w:val="21"/>
          <w:szCs w:val="21"/>
        </w:rPr>
      </w:pPr>
    </w:p>
    <w:p>
      <w:pPr>
        <w:pStyle w:val="Heading4"/>
        <w:numPr>
          <w:ilvl w:val="0"/>
          <w:numId w:val="5"/>
        </w:numPr>
        <w:jc w:val="center"/>
        <w:rPr>
          <w:rFonts w:ascii="宋体" w:eastAsia="宋体" w:hAnsi="宋体" w:cs="宋体" w:hint="eastAsia"/>
          <w:sz w:val="21"/>
          <w:szCs w:val="21"/>
        </w:rPr>
      </w:pPr>
      <w:r>
        <w:rPr>
          <w:rFonts w:ascii="宋体" w:eastAsia="宋体" w:hAnsi="宋体" w:cs="宋体" w:hint="eastAsia"/>
          <w:sz w:val="21"/>
          <w:szCs w:val="21"/>
        </w:rPr>
        <w:t>投标函</w:t>
      </w:r>
    </w:p>
    <w:p>
      <w:pPr>
        <w:spacing w:line="360" w:lineRule="auto"/>
        <w:rPr>
          <w:rFonts w:ascii="宋体" w:hAnsi="宋体" w:cs="宋体" w:hint="eastAsia"/>
          <w:szCs w:val="21"/>
        </w:rPr>
      </w:pPr>
      <w:r>
        <w:rPr>
          <w:rFonts w:ascii="宋体" w:hAnsi="宋体" w:cs="宋体" w:hint="eastAsia"/>
          <w:szCs w:val="21"/>
        </w:rPr>
        <w:t>致：</w:t>
      </w:r>
      <w:r>
        <w:rPr>
          <w:rFonts w:ascii="宋体" w:hAnsi="宋体" w:cs="宋体" w:hint="eastAsia"/>
          <w:szCs w:val="21"/>
          <w:u w:val="single"/>
        </w:rPr>
        <w:t>深圳市振东招标代理有限公司</w:t>
      </w:r>
    </w:p>
    <w:p>
      <w:pPr>
        <w:spacing w:after="120" w:afterLines="50"/>
        <w:ind w:firstLine="480" w:firstLineChars="200"/>
        <w:rPr>
          <w:rFonts w:ascii="宋体" w:hAnsi="宋体" w:cs="宋体" w:hint="eastAsia"/>
          <w:b/>
          <w:szCs w:val="21"/>
          <w:u w:val="single"/>
        </w:rPr>
      </w:pPr>
      <w:r>
        <w:rPr>
          <w:rFonts w:ascii="宋体" w:hAnsi="宋体" w:cs="宋体" w:hint="eastAsia"/>
          <w:szCs w:val="21"/>
        </w:rPr>
        <w:t>1、根据已收到贵方的招标编号为</w:t>
      </w:r>
      <w:r>
        <w:rPr>
          <w:rFonts w:ascii="宋体" w:hAnsi="宋体" w:cs="宋体" w:hint="eastAsia"/>
          <w:bCs/>
          <w:szCs w:val="21"/>
          <w:u w:val="single"/>
          <w:lang w:eastAsia="zh-CN"/>
        </w:rPr>
        <w:t>SZDL2022001941</w:t>
      </w:r>
      <w:r>
        <w:rPr>
          <w:rFonts w:ascii="宋体" w:hAnsi="宋体" w:cs="宋体" w:hint="eastAsia"/>
          <w:szCs w:val="21"/>
        </w:rPr>
        <w:t>的</w:t>
      </w:r>
      <w:r>
        <w:rPr>
          <w:rFonts w:ascii="宋体" w:hAnsi="宋体" w:cs="宋体" w:hint="eastAsia"/>
          <w:bCs/>
          <w:szCs w:val="21"/>
          <w:u w:val="single"/>
        </w:rPr>
        <w:t>原子吸收仪设备</w:t>
      </w:r>
      <w:r>
        <w:rPr>
          <w:rFonts w:ascii="宋体" w:hAnsi="宋体" w:cs="宋体" w:hint="eastAsia"/>
          <w:szCs w:val="21"/>
        </w:rPr>
        <w:t>项目的招标文件，遵照《深圳经济特区政府采购条例》和《深圳网上政府采购管理暂行办法》等有关规定，我单位经研究上述招标文件的专用条款及通用条款后，我方愿以投标书编制软件中《开标一览表》中填写的投标报价并按招标文件要求承包上述项目并修补其任何缺陷。</w:t>
      </w:r>
    </w:p>
    <w:p>
      <w:pPr>
        <w:spacing w:after="120" w:afterLines="50"/>
        <w:ind w:firstLine="480" w:firstLineChars="200"/>
        <w:rPr>
          <w:rFonts w:ascii="宋体" w:hAnsi="宋体" w:cs="宋体" w:hint="eastAsia"/>
          <w:szCs w:val="21"/>
        </w:rPr>
      </w:pPr>
      <w:r>
        <w:rPr>
          <w:rFonts w:ascii="宋体" w:hAnsi="宋体" w:cs="宋体" w:hint="eastAsia"/>
          <w:szCs w:val="21"/>
        </w:rPr>
        <w:t>2、我方已认真核实了投标文件的全部资料，所有资料均为真实资料。我方对投标文件中全部投标资料的真实性负责，如被证实我方的投标文件中存在虚假资料，我方愿意接受主管部门作出的行政处罚。</w:t>
      </w:r>
    </w:p>
    <w:p>
      <w:pPr>
        <w:spacing w:after="120" w:afterLines="50"/>
        <w:ind w:firstLine="470" w:firstLineChars="196"/>
        <w:rPr>
          <w:rFonts w:ascii="宋体" w:hAnsi="宋体" w:cs="宋体" w:hint="eastAsia"/>
          <w:szCs w:val="21"/>
        </w:rPr>
      </w:pPr>
      <w:r>
        <w:rPr>
          <w:rFonts w:ascii="宋体" w:hAnsi="宋体" w:cs="宋体" w:hint="eastAsia"/>
          <w:szCs w:val="21"/>
        </w:rPr>
        <w:t>3、我方同意所递交的投标文件在“对通用条款的补充内容”中的投标有效期内有效，在此期间内我方的投标有可能中标，我方将受此约束。</w:t>
      </w:r>
    </w:p>
    <w:p>
      <w:pPr>
        <w:spacing w:after="120" w:afterLines="50"/>
        <w:ind w:firstLine="470" w:firstLineChars="196"/>
        <w:rPr>
          <w:rFonts w:ascii="宋体" w:hAnsi="宋体" w:cs="宋体" w:hint="eastAsia"/>
          <w:szCs w:val="21"/>
        </w:rPr>
      </w:pPr>
      <w:r>
        <w:rPr>
          <w:rFonts w:ascii="宋体" w:hAnsi="宋体" w:cs="宋体" w:hint="eastAsia"/>
          <w:szCs w:val="21"/>
        </w:rPr>
        <w:t>4、我方如果中标，我方承诺中标后按照采购相关规定与采购人签订合同，将保证履行我方投标文件所响应全部责任和义务，按质、按量、按期完成合同中的全部任务。如因我方原因未在规定时限内与采购人签订合同的，愿意接受相关部门作出的相应处理。除非另外达成协议并生效，贵方中标通知书和本投标文件将构成合同组成部分。</w:t>
      </w:r>
    </w:p>
    <w:p>
      <w:pPr>
        <w:pStyle w:val="BodyText"/>
        <w:ind w:firstLine="480" w:firstLineChars="200"/>
        <w:rPr>
          <w:rFonts w:ascii="宋体" w:hAnsi="宋体" w:cs="宋体" w:hint="eastAsia"/>
          <w:b w:val="0"/>
          <w:bCs w:val="0"/>
          <w:sz w:val="21"/>
          <w:szCs w:val="21"/>
        </w:rPr>
      </w:pPr>
      <w:r>
        <w:rPr>
          <w:rFonts w:ascii="宋体" w:hAnsi="宋体" w:cs="宋体" w:hint="eastAsia"/>
          <w:b w:val="0"/>
          <w:bCs w:val="0"/>
          <w:sz w:val="21"/>
          <w:szCs w:val="21"/>
        </w:rPr>
        <w:t>5、我方同意提供贵方可能要求的与其投标有关的一切数据或资料。</w:t>
      </w:r>
    </w:p>
    <w:p>
      <w:pPr>
        <w:spacing w:after="120" w:afterLines="50"/>
        <w:ind w:firstLine="470" w:firstLineChars="196"/>
        <w:rPr>
          <w:rFonts w:ascii="宋体" w:hAnsi="宋体" w:cs="宋体" w:hint="eastAsia"/>
          <w:szCs w:val="21"/>
        </w:rPr>
      </w:pPr>
      <w:r>
        <w:rPr>
          <w:rFonts w:ascii="宋体" w:hAnsi="宋体" w:cs="宋体" w:hint="eastAsia"/>
          <w:szCs w:val="21"/>
        </w:rPr>
        <w:t>6、我方理解最低报价不作为中标的唯一条件，采购人及采购代理机构将不受投标文件的其它任何条款约束。</w:t>
      </w:r>
    </w:p>
    <w:p>
      <w:pPr>
        <w:ind w:left="617" w:leftChars="257"/>
        <w:rPr>
          <w:rFonts w:ascii="宋体" w:hAnsi="宋体" w:cs="宋体" w:hint="eastAsia"/>
          <w:szCs w:val="21"/>
        </w:rPr>
      </w:pPr>
      <w:r>
        <w:rPr>
          <w:rFonts w:ascii="宋体" w:hAnsi="宋体" w:cs="宋体" w:hint="eastAsia"/>
          <w:szCs w:val="21"/>
        </w:rPr>
        <w:t>投标人：</w:t>
      </w:r>
      <w:r>
        <w:rPr>
          <w:rFonts w:ascii="宋体" w:hAnsi="宋体" w:cs="宋体" w:hint="eastAsia"/>
          <w:szCs w:val="21"/>
          <w:u w:val="single"/>
        </w:rPr>
        <w:t xml:space="preserve">                  </w:t>
      </w:r>
      <w:r>
        <w:rPr>
          <w:rFonts w:ascii="宋体" w:hAnsi="宋体" w:cs="宋体" w:hint="eastAsia"/>
          <w:szCs w:val="21"/>
        </w:rPr>
        <w:t xml:space="preserve">     单位地址：</w:t>
      </w:r>
      <w:r>
        <w:rPr>
          <w:rFonts w:ascii="宋体" w:hAnsi="宋体" w:cs="宋体" w:hint="eastAsia"/>
          <w:szCs w:val="21"/>
          <w:u w:val="single"/>
        </w:rPr>
        <w:t xml:space="preserve">                   </w:t>
      </w:r>
    </w:p>
    <w:p>
      <w:pPr>
        <w:ind w:left="617" w:leftChars="257"/>
        <w:rPr>
          <w:rFonts w:ascii="宋体" w:hAnsi="宋体" w:cs="宋体" w:hint="eastAsia"/>
          <w:szCs w:val="21"/>
          <w:u w:val="single"/>
        </w:rPr>
      </w:pPr>
      <w:r>
        <w:rPr>
          <w:rFonts w:ascii="宋体" w:hAnsi="宋体" w:cs="宋体" w:hint="eastAsia"/>
          <w:szCs w:val="21"/>
        </w:rPr>
        <w:t>法定代表人或其委托代理人：</w:t>
      </w:r>
      <w:r>
        <w:rPr>
          <w:rFonts w:ascii="宋体" w:hAnsi="宋体" w:cs="宋体" w:hint="eastAsia"/>
          <w:szCs w:val="21"/>
          <w:u w:val="single"/>
        </w:rPr>
        <w:t xml:space="preserve">            </w:t>
      </w:r>
      <w:r>
        <w:rPr>
          <w:rFonts w:ascii="宋体" w:hAnsi="宋体" w:cs="宋体" w:hint="eastAsia"/>
          <w:szCs w:val="21"/>
        </w:rPr>
        <w:t xml:space="preserve"> </w:t>
      </w:r>
    </w:p>
    <w:p>
      <w:pPr>
        <w:ind w:left="617" w:leftChars="257"/>
        <w:rPr>
          <w:rFonts w:ascii="宋体" w:hAnsi="宋体" w:cs="宋体" w:hint="eastAsia"/>
          <w:szCs w:val="21"/>
          <w:u w:val="single"/>
        </w:rPr>
      </w:pPr>
      <w:r>
        <w:rPr>
          <w:rFonts w:ascii="宋体" w:hAnsi="宋体" w:cs="宋体" w:hint="eastAsia"/>
          <w:szCs w:val="21"/>
        </w:rPr>
        <w:t>邮政编码：</w:t>
      </w:r>
      <w:r>
        <w:rPr>
          <w:rFonts w:ascii="宋体" w:hAnsi="宋体" w:cs="宋体" w:hint="eastAsia"/>
          <w:szCs w:val="21"/>
          <w:u w:val="single"/>
        </w:rPr>
        <w:t xml:space="preserve">              </w:t>
      </w:r>
      <w:r>
        <w:rPr>
          <w:rFonts w:ascii="宋体" w:hAnsi="宋体" w:cs="宋体" w:hint="eastAsia"/>
          <w:szCs w:val="21"/>
        </w:rPr>
        <w:t>电话：</w:t>
      </w:r>
      <w:r>
        <w:rPr>
          <w:rFonts w:ascii="宋体" w:hAnsi="宋体" w:cs="宋体" w:hint="eastAsia"/>
          <w:szCs w:val="21"/>
          <w:u w:val="single"/>
        </w:rPr>
        <w:t xml:space="preserve">             </w:t>
      </w:r>
      <w:r>
        <w:rPr>
          <w:rFonts w:ascii="宋体" w:hAnsi="宋体" w:cs="宋体" w:hint="eastAsia"/>
          <w:szCs w:val="21"/>
        </w:rPr>
        <w:t>传真：</w:t>
      </w:r>
      <w:r>
        <w:rPr>
          <w:rFonts w:ascii="宋体" w:hAnsi="宋体" w:cs="宋体" w:hint="eastAsia"/>
          <w:szCs w:val="21"/>
          <w:u w:val="single"/>
        </w:rPr>
        <w:t xml:space="preserve">          </w:t>
      </w:r>
    </w:p>
    <w:p>
      <w:pPr>
        <w:ind w:left="617" w:leftChars="257"/>
        <w:rPr>
          <w:rFonts w:ascii="宋体" w:hAnsi="宋体" w:cs="宋体" w:hint="eastAsia"/>
          <w:szCs w:val="21"/>
        </w:rPr>
      </w:pPr>
      <w:r>
        <w:rPr>
          <w:rFonts w:ascii="宋体" w:hAnsi="宋体" w:cs="宋体" w:hint="eastAsia"/>
          <w:szCs w:val="21"/>
        </w:rPr>
        <w:t>开户银行名称：</w:t>
      </w:r>
      <w:r>
        <w:rPr>
          <w:rFonts w:ascii="宋体" w:hAnsi="宋体" w:cs="宋体" w:hint="eastAsia"/>
          <w:szCs w:val="21"/>
          <w:u w:val="single"/>
        </w:rPr>
        <w:tab/>
      </w:r>
      <w:r>
        <w:rPr>
          <w:rFonts w:ascii="宋体" w:hAnsi="宋体" w:cs="宋体" w:hint="eastAsia"/>
          <w:szCs w:val="21"/>
          <w:u w:val="single"/>
        </w:rPr>
        <w:tab/>
      </w:r>
      <w:r>
        <w:rPr>
          <w:rFonts w:ascii="宋体" w:hAnsi="宋体" w:cs="宋体" w:hint="eastAsia"/>
          <w:szCs w:val="21"/>
          <w:u w:val="single"/>
        </w:rPr>
        <w:tab/>
      </w:r>
      <w:r>
        <w:rPr>
          <w:rFonts w:ascii="宋体" w:hAnsi="宋体" w:cs="宋体" w:hint="eastAsia"/>
          <w:szCs w:val="21"/>
          <w:u w:val="single"/>
        </w:rPr>
        <w:tab/>
      </w:r>
      <w:r>
        <w:rPr>
          <w:rFonts w:ascii="宋体" w:hAnsi="宋体" w:cs="宋体" w:hint="eastAsia"/>
          <w:szCs w:val="21"/>
        </w:rPr>
        <w:tab/>
      </w:r>
      <w:r>
        <w:rPr>
          <w:rFonts w:ascii="宋体" w:hAnsi="宋体" w:cs="宋体" w:hint="eastAsia"/>
          <w:szCs w:val="21"/>
        </w:rPr>
        <w:t>开户银行帐号：</w:t>
      </w:r>
      <w:r>
        <w:rPr>
          <w:rFonts w:ascii="宋体" w:hAnsi="宋体" w:cs="宋体" w:hint="eastAsia"/>
          <w:szCs w:val="21"/>
          <w:u w:val="single"/>
        </w:rPr>
        <w:tab/>
      </w:r>
      <w:r>
        <w:rPr>
          <w:rFonts w:ascii="宋体" w:hAnsi="宋体" w:cs="宋体" w:hint="eastAsia"/>
          <w:szCs w:val="21"/>
          <w:u w:val="single"/>
        </w:rPr>
        <w:tab/>
      </w:r>
      <w:r>
        <w:rPr>
          <w:rFonts w:ascii="宋体" w:hAnsi="宋体" w:cs="宋体" w:hint="eastAsia"/>
          <w:szCs w:val="21"/>
          <w:u w:val="single"/>
        </w:rPr>
        <w:tab/>
      </w:r>
      <w:r>
        <w:rPr>
          <w:rFonts w:ascii="宋体" w:hAnsi="宋体" w:cs="宋体" w:hint="eastAsia"/>
          <w:szCs w:val="21"/>
          <w:u w:val="single"/>
        </w:rPr>
        <w:tab/>
      </w:r>
    </w:p>
    <w:p>
      <w:pPr>
        <w:ind w:left="617" w:leftChars="257"/>
        <w:rPr>
          <w:rFonts w:ascii="宋体" w:hAnsi="宋体" w:cs="宋体" w:hint="eastAsia"/>
          <w:szCs w:val="21"/>
        </w:rPr>
      </w:pPr>
      <w:r>
        <w:rPr>
          <w:rFonts w:ascii="宋体" w:hAnsi="宋体" w:cs="宋体" w:hint="eastAsia"/>
          <w:szCs w:val="21"/>
        </w:rPr>
        <w:t>开户银行地址：</w:t>
      </w:r>
      <w:r>
        <w:rPr>
          <w:rFonts w:ascii="宋体" w:hAnsi="宋体" w:cs="宋体" w:hint="eastAsia"/>
          <w:szCs w:val="21"/>
          <w:u w:val="single"/>
        </w:rPr>
        <w:tab/>
      </w:r>
      <w:r>
        <w:rPr>
          <w:rFonts w:ascii="宋体" w:hAnsi="宋体" w:cs="宋体" w:hint="eastAsia"/>
          <w:szCs w:val="21"/>
          <w:u w:val="single"/>
        </w:rPr>
        <w:tab/>
      </w:r>
      <w:r>
        <w:rPr>
          <w:rFonts w:ascii="宋体" w:hAnsi="宋体" w:cs="宋体" w:hint="eastAsia"/>
          <w:szCs w:val="21"/>
          <w:u w:val="single"/>
        </w:rPr>
        <w:tab/>
      </w:r>
      <w:r>
        <w:rPr>
          <w:rFonts w:ascii="宋体" w:hAnsi="宋体" w:cs="宋体" w:hint="eastAsia"/>
          <w:szCs w:val="21"/>
          <w:u w:val="single"/>
        </w:rPr>
        <w:tab/>
      </w:r>
      <w:r>
        <w:rPr>
          <w:rFonts w:ascii="宋体" w:hAnsi="宋体" w:cs="宋体" w:hint="eastAsia"/>
          <w:szCs w:val="21"/>
        </w:rPr>
        <w:tab/>
      </w:r>
      <w:r>
        <w:rPr>
          <w:rFonts w:ascii="宋体" w:hAnsi="宋体" w:cs="宋体" w:hint="eastAsia"/>
          <w:szCs w:val="21"/>
        </w:rPr>
        <w:t>开户银行电话：</w:t>
      </w:r>
      <w:r>
        <w:rPr>
          <w:rFonts w:ascii="宋体" w:hAnsi="宋体" w:cs="宋体" w:hint="eastAsia"/>
          <w:szCs w:val="21"/>
          <w:u w:val="single"/>
        </w:rPr>
        <w:tab/>
      </w:r>
      <w:r>
        <w:rPr>
          <w:rFonts w:ascii="宋体" w:hAnsi="宋体" w:cs="宋体" w:hint="eastAsia"/>
          <w:szCs w:val="21"/>
          <w:u w:val="single"/>
        </w:rPr>
        <w:tab/>
      </w:r>
      <w:r>
        <w:rPr>
          <w:rFonts w:ascii="宋体" w:hAnsi="宋体" w:cs="宋体" w:hint="eastAsia"/>
          <w:szCs w:val="21"/>
          <w:u w:val="single"/>
        </w:rPr>
        <w:tab/>
      </w:r>
      <w:r>
        <w:rPr>
          <w:rFonts w:ascii="宋体" w:hAnsi="宋体" w:cs="宋体" w:hint="eastAsia"/>
          <w:szCs w:val="21"/>
          <w:u w:val="single"/>
        </w:rPr>
        <w:tab/>
      </w:r>
    </w:p>
    <w:p>
      <w:pPr>
        <w:ind w:firstLine="617" w:firstLineChars="257"/>
        <w:rPr>
          <w:rFonts w:ascii="宋体" w:hAnsi="宋体" w:cs="宋体" w:hint="eastAsia"/>
          <w:sz w:val="24"/>
        </w:rPr>
      </w:pPr>
      <w:r>
        <w:rPr>
          <w:rFonts w:ascii="宋体" w:hAnsi="宋体" w:cs="宋体" w:hint="eastAsia"/>
          <w:szCs w:val="21"/>
        </w:rPr>
        <w:t>日期：</w:t>
      </w:r>
      <w:r>
        <w:rPr>
          <w:rFonts w:ascii="宋体" w:hAnsi="宋体" w:cs="宋体" w:hint="eastAsia"/>
          <w:szCs w:val="21"/>
          <w:u w:val="single"/>
        </w:rPr>
        <w:t xml:space="preserve">    </w:t>
      </w:r>
      <w:r>
        <w:rPr>
          <w:rFonts w:ascii="宋体" w:hAnsi="宋体" w:cs="宋体" w:hint="eastAsia"/>
          <w:szCs w:val="21"/>
        </w:rPr>
        <w:t>年</w:t>
      </w:r>
      <w:r>
        <w:rPr>
          <w:rFonts w:ascii="宋体" w:hAnsi="宋体" w:cs="宋体" w:hint="eastAsia"/>
          <w:szCs w:val="21"/>
          <w:u w:val="single"/>
        </w:rPr>
        <w:t xml:space="preserve">    </w:t>
      </w:r>
      <w:r>
        <w:rPr>
          <w:rFonts w:ascii="宋体" w:hAnsi="宋体" w:cs="宋体" w:hint="eastAsia"/>
          <w:szCs w:val="21"/>
        </w:rPr>
        <w:t>月</w:t>
      </w:r>
      <w:r>
        <w:rPr>
          <w:rFonts w:ascii="宋体" w:hAnsi="宋体" w:cs="宋体" w:hint="eastAsia"/>
          <w:szCs w:val="21"/>
          <w:u w:val="single"/>
        </w:rPr>
        <w:t xml:space="preserve">     </w:t>
      </w:r>
      <w:r>
        <w:rPr>
          <w:rFonts w:ascii="宋体" w:hAnsi="宋体" w:cs="宋体" w:hint="eastAsia"/>
          <w:szCs w:val="21"/>
        </w:rPr>
        <w:t>日</w:t>
      </w:r>
    </w:p>
    <w:p>
      <w:pPr>
        <w:rPr>
          <w:rFonts w:ascii="宋体" w:hAnsi="宋体" w:cs="宋体" w:hint="eastAsia"/>
        </w:rPr>
      </w:pPr>
    </w:p>
    <w:p>
      <w:pPr>
        <w:widowControl/>
        <w:jc w:val="left"/>
        <w:rPr>
          <w:rFonts w:ascii="宋体" w:hAnsi="宋体" w:cs="宋体" w:hint="eastAsia"/>
          <w:b/>
          <w:bCs/>
          <w:sz w:val="24"/>
        </w:rPr>
      </w:pPr>
      <w:r>
        <w:rPr>
          <w:rFonts w:ascii="宋体" w:hAnsi="宋体" w:cs="宋体" w:hint="eastAsia"/>
        </w:rPr>
        <w:br w:type="page"/>
      </w:r>
    </w:p>
    <w:p>
      <w:pPr>
        <w:pStyle w:val="Heading4"/>
        <w:numPr>
          <w:ilvl w:val="0"/>
          <w:numId w:val="5"/>
        </w:numPr>
        <w:jc w:val="center"/>
        <w:rPr>
          <w:rFonts w:ascii="宋体" w:eastAsia="宋体" w:hAnsi="宋体" w:cs="宋体" w:hint="eastAsia"/>
          <w:sz w:val="21"/>
          <w:szCs w:val="21"/>
        </w:rPr>
      </w:pPr>
      <w:r>
        <w:rPr>
          <w:rFonts w:ascii="宋体" w:eastAsia="宋体" w:hAnsi="宋体" w:cs="宋体" w:hint="eastAsia"/>
          <w:sz w:val="21"/>
          <w:szCs w:val="21"/>
        </w:rPr>
        <w:t>政府采购投标及履约承诺函</w:t>
      </w:r>
    </w:p>
    <w:p>
      <w:pPr>
        <w:snapToGrid w:val="0"/>
        <w:spacing w:line="360" w:lineRule="auto"/>
        <w:rPr>
          <w:rFonts w:ascii="宋体" w:hAnsi="宋体" w:cs="宋体" w:hint="eastAsia"/>
        </w:rPr>
      </w:pPr>
      <w:r>
        <w:rPr>
          <w:rFonts w:ascii="宋体" w:hAnsi="宋体" w:cs="宋体" w:hint="eastAsia"/>
        </w:rPr>
        <w:t>致：深圳市振东招标代理有限公司</w:t>
      </w:r>
    </w:p>
    <w:p>
      <w:pPr>
        <w:snapToGrid w:val="0"/>
        <w:spacing w:line="360" w:lineRule="auto"/>
        <w:ind w:firstLine="480" w:firstLineChars="200"/>
        <w:rPr>
          <w:rFonts w:ascii="宋体" w:hAnsi="宋体" w:cs="宋体" w:hint="eastAsia"/>
        </w:rPr>
      </w:pPr>
      <w:r>
        <w:rPr>
          <w:rFonts w:ascii="宋体" w:hAnsi="宋体" w:cs="宋体" w:hint="eastAsia"/>
        </w:rPr>
        <w:t>我方承诺：</w:t>
      </w:r>
    </w:p>
    <w:p>
      <w:pPr>
        <w:snapToGrid w:val="0"/>
        <w:spacing w:line="360" w:lineRule="auto"/>
        <w:ind w:firstLine="480" w:firstLineChars="200"/>
        <w:rPr>
          <w:rFonts w:ascii="宋体" w:hAnsi="宋体" w:cs="宋体" w:hint="eastAsia"/>
        </w:rPr>
      </w:pPr>
      <w:r>
        <w:rPr>
          <w:rFonts w:ascii="宋体" w:hAnsi="宋体" w:cs="宋体" w:hint="eastAsia"/>
        </w:rPr>
        <w:t>1.我方符合《中华人民共和国政府采购法》第二十二条规定的以下要求：</w:t>
      </w:r>
    </w:p>
    <w:p>
      <w:pPr>
        <w:snapToGrid w:val="0"/>
        <w:spacing w:line="360" w:lineRule="auto"/>
        <w:ind w:firstLine="480" w:firstLineChars="200"/>
        <w:rPr>
          <w:rFonts w:ascii="宋体" w:hAnsi="宋体" w:cs="宋体" w:hint="eastAsia"/>
        </w:rPr>
      </w:pPr>
      <w:r>
        <w:rPr>
          <w:rFonts w:ascii="宋体" w:hAnsi="宋体" w:cs="宋体" w:hint="eastAsia"/>
        </w:rPr>
        <w:t>（一）具有独立承担民事责任的能力；</w:t>
      </w:r>
    </w:p>
    <w:p>
      <w:pPr>
        <w:snapToGrid w:val="0"/>
        <w:spacing w:line="360" w:lineRule="auto"/>
        <w:ind w:firstLine="480" w:firstLineChars="200"/>
        <w:rPr>
          <w:rFonts w:ascii="宋体" w:hAnsi="宋体" w:cs="宋体" w:hint="eastAsia"/>
        </w:rPr>
      </w:pPr>
      <w:r>
        <w:rPr>
          <w:rFonts w:ascii="宋体" w:hAnsi="宋体" w:cs="宋体" w:hint="eastAsia"/>
        </w:rPr>
        <w:t>（二）具有良好的商业信誉和健全的财务会计制度；</w:t>
      </w:r>
    </w:p>
    <w:p>
      <w:pPr>
        <w:snapToGrid w:val="0"/>
        <w:spacing w:line="360" w:lineRule="auto"/>
        <w:ind w:firstLine="480" w:firstLineChars="200"/>
        <w:rPr>
          <w:rFonts w:ascii="宋体" w:hAnsi="宋体" w:cs="宋体" w:hint="eastAsia"/>
        </w:rPr>
      </w:pPr>
      <w:r>
        <w:rPr>
          <w:rFonts w:ascii="宋体" w:hAnsi="宋体" w:cs="宋体" w:hint="eastAsia"/>
        </w:rPr>
        <w:t>（三）具有履行合同所必需的设备和专业技术能力；</w:t>
      </w:r>
    </w:p>
    <w:p>
      <w:pPr>
        <w:snapToGrid w:val="0"/>
        <w:spacing w:line="360" w:lineRule="auto"/>
        <w:ind w:firstLine="480" w:firstLineChars="200"/>
        <w:rPr>
          <w:rFonts w:ascii="宋体" w:hAnsi="宋体" w:cs="宋体" w:hint="eastAsia"/>
        </w:rPr>
      </w:pPr>
      <w:r>
        <w:rPr>
          <w:rFonts w:ascii="宋体" w:hAnsi="宋体" w:cs="宋体" w:hint="eastAsia"/>
        </w:rPr>
        <w:t>（四）有依法缴纳税收和社会保障资金的良好记录；</w:t>
      </w:r>
    </w:p>
    <w:p>
      <w:pPr>
        <w:snapToGrid w:val="0"/>
        <w:spacing w:line="360" w:lineRule="auto"/>
        <w:ind w:firstLine="480" w:firstLineChars="200"/>
        <w:rPr>
          <w:rFonts w:ascii="宋体" w:hAnsi="宋体" w:cs="宋体" w:hint="eastAsia"/>
        </w:rPr>
      </w:pPr>
      <w:r>
        <w:rPr>
          <w:rFonts w:ascii="宋体" w:hAnsi="宋体" w:cs="宋体" w:hint="eastAsia"/>
        </w:rPr>
        <w:t>（五）参加政府采购活动前三年内，在经营活动中没有重大违法记录；</w:t>
      </w:r>
    </w:p>
    <w:p>
      <w:pPr>
        <w:snapToGrid w:val="0"/>
        <w:spacing w:line="360" w:lineRule="auto"/>
        <w:ind w:firstLine="480" w:firstLineChars="200"/>
        <w:rPr>
          <w:rFonts w:ascii="宋体" w:hAnsi="宋体" w:cs="宋体" w:hint="eastAsia"/>
        </w:rPr>
      </w:pPr>
      <w:r>
        <w:rPr>
          <w:rFonts w:ascii="宋体" w:hAnsi="宋体" w:cs="宋体" w:hint="eastAsia"/>
        </w:rPr>
        <w:t>（六）法律、行政法规规定的其他条件。</w:t>
      </w:r>
    </w:p>
    <w:p>
      <w:pPr>
        <w:snapToGrid w:val="0"/>
        <w:spacing w:line="360" w:lineRule="auto"/>
        <w:ind w:firstLine="480" w:firstLineChars="200"/>
        <w:rPr>
          <w:rFonts w:ascii="宋体" w:hAnsi="宋体" w:cs="宋体" w:hint="eastAsia"/>
        </w:rPr>
      </w:pPr>
      <w:r>
        <w:rPr>
          <w:rFonts w:ascii="宋体" w:hAnsi="宋体" w:cs="宋体" w:hint="eastAsia"/>
        </w:rPr>
        <w:t>2.本项目所提供的货物或服务未侵犯知识产权。我方已清楚，提供虚假承诺或者被有关单位确认为侵犯知识产权的，三年内不得参加政府采购活动。</w:t>
      </w:r>
    </w:p>
    <w:p>
      <w:pPr>
        <w:snapToGrid w:val="0"/>
        <w:spacing w:line="360" w:lineRule="auto"/>
        <w:ind w:firstLine="480" w:firstLineChars="200"/>
        <w:rPr>
          <w:rFonts w:ascii="宋体" w:hAnsi="宋体" w:cs="宋体" w:hint="eastAsia"/>
        </w:rPr>
      </w:pPr>
      <w:r>
        <w:rPr>
          <w:rFonts w:ascii="宋体" w:hAnsi="宋体" w:cs="宋体" w:hint="eastAsia"/>
        </w:rPr>
        <w:t>3.参与本项目投标前三年内无行贿犯罪记录。</w:t>
      </w:r>
    </w:p>
    <w:p>
      <w:pPr>
        <w:snapToGrid w:val="0"/>
        <w:spacing w:line="360" w:lineRule="auto"/>
        <w:ind w:firstLine="480" w:firstLineChars="200"/>
        <w:rPr>
          <w:rFonts w:ascii="宋体" w:hAnsi="宋体" w:cs="宋体" w:hint="eastAsia"/>
        </w:rPr>
      </w:pPr>
      <w:r>
        <w:rPr>
          <w:rFonts w:ascii="宋体" w:hAnsi="宋体" w:cs="宋体" w:hint="eastAsia"/>
        </w:rPr>
        <w:t>4.参与本项目政府采购活动时不存在被有关部门禁止参与政府采购活动且在有效期内的情况。</w:t>
      </w:r>
    </w:p>
    <w:p>
      <w:pPr>
        <w:snapToGrid w:val="0"/>
        <w:spacing w:line="360" w:lineRule="auto"/>
        <w:ind w:firstLine="480" w:firstLineChars="200"/>
        <w:rPr>
          <w:rFonts w:ascii="宋体" w:hAnsi="宋体" w:cs="宋体" w:hint="eastAsia"/>
        </w:rPr>
      </w:pPr>
      <w:r>
        <w:rPr>
          <w:rFonts w:ascii="宋体" w:hAnsi="宋体" w:cs="宋体" w:hint="eastAsia"/>
        </w:rPr>
        <w:t>5.我方不存在以下情况：</w:t>
      </w:r>
    </w:p>
    <w:p>
      <w:pPr>
        <w:snapToGrid w:val="0"/>
        <w:spacing w:line="360" w:lineRule="auto"/>
        <w:ind w:firstLine="480" w:firstLineChars="200"/>
        <w:rPr>
          <w:rFonts w:ascii="宋体" w:hAnsi="宋体" w:cs="宋体" w:hint="eastAsia"/>
        </w:rPr>
      </w:pPr>
      <w:r>
        <w:rPr>
          <w:rFonts w:ascii="宋体" w:hAnsi="宋体" w:cs="宋体" w:hint="eastAsia"/>
        </w:rPr>
        <w:t>（1）单位负责人为同一人或者存在直接控股、管理关系的不同供应商；</w:t>
      </w:r>
    </w:p>
    <w:p>
      <w:pPr>
        <w:snapToGrid w:val="0"/>
        <w:spacing w:line="360" w:lineRule="auto"/>
        <w:ind w:firstLine="480" w:firstLineChars="200"/>
        <w:rPr>
          <w:rFonts w:ascii="宋体" w:hAnsi="宋体" w:cs="宋体" w:hint="eastAsia"/>
        </w:rPr>
      </w:pPr>
      <w:r>
        <w:rPr>
          <w:rFonts w:ascii="宋体" w:hAnsi="宋体" w:cs="宋体" w:hint="eastAsia"/>
        </w:rPr>
        <w:t>（2）为采购项目提供整体设计、规范编制或者项目管理、监理、检测等服务。</w:t>
      </w:r>
    </w:p>
    <w:p>
      <w:pPr>
        <w:snapToGrid w:val="0"/>
        <w:spacing w:line="360" w:lineRule="auto"/>
        <w:ind w:firstLine="480" w:firstLineChars="200"/>
        <w:rPr>
          <w:rFonts w:ascii="宋体" w:hAnsi="宋体" w:cs="宋体" w:hint="eastAsia"/>
        </w:rPr>
      </w:pPr>
      <w:r>
        <w:rPr>
          <w:rFonts w:ascii="宋体" w:hAnsi="宋体" w:cs="宋体" w:hint="eastAsia"/>
        </w:rPr>
        <w:t>6.我方未被列入失信被执行人、重大税收违法案件当事人名单、政府采购严重违法失信行为记录名单。</w:t>
      </w:r>
    </w:p>
    <w:p>
      <w:pPr>
        <w:snapToGrid w:val="0"/>
        <w:spacing w:line="360" w:lineRule="auto"/>
        <w:ind w:firstLine="480" w:firstLineChars="200"/>
        <w:rPr>
          <w:rFonts w:ascii="宋体" w:hAnsi="宋体" w:cs="宋体" w:hint="eastAsia"/>
        </w:rPr>
      </w:pPr>
      <w:r>
        <w:rPr>
          <w:rFonts w:ascii="宋体" w:hAnsi="宋体" w:cs="宋体" w:hint="eastAsia"/>
        </w:rPr>
        <w:t>7.我方参与该项目投标，严格遵守政府采购相关法律，投标做到诚实，不造假，不串通投标。我方已知悉：如违反上述要求，投标无效，同时将被提请政府采购监督管理部门列入不良记录名单并在网上曝光，给予一定年限内禁止参与政府采购活动或其他处罚。</w:t>
      </w:r>
    </w:p>
    <w:p>
      <w:pPr>
        <w:snapToGrid w:val="0"/>
        <w:spacing w:line="360" w:lineRule="auto"/>
        <w:ind w:firstLine="480" w:firstLineChars="200"/>
        <w:rPr>
          <w:rFonts w:ascii="宋体" w:hAnsi="宋体" w:cs="宋体" w:hint="eastAsia"/>
        </w:rPr>
      </w:pPr>
      <w:r>
        <w:rPr>
          <w:rFonts w:ascii="宋体" w:hAnsi="宋体" w:cs="宋体" w:hint="eastAsia"/>
        </w:rPr>
        <w:t>8.我方如果中标，做到守信，不偷工减料，依照本项目招标文件需求内容、签署的采购合同及本公司在投标中所作的一切承诺履约。项目验收达到全部指标合格，力争优良。</w:t>
      </w:r>
    </w:p>
    <w:p>
      <w:pPr>
        <w:snapToGrid w:val="0"/>
        <w:spacing w:line="360" w:lineRule="auto"/>
        <w:ind w:firstLine="480" w:firstLineChars="200"/>
        <w:rPr>
          <w:rFonts w:ascii="宋体" w:hAnsi="宋体" w:cs="宋体" w:hint="eastAsia"/>
        </w:rPr>
      </w:pPr>
      <w:r>
        <w:rPr>
          <w:rFonts w:ascii="宋体" w:hAnsi="宋体" w:cs="宋体" w:hint="eastAsia"/>
        </w:rPr>
        <w:t>9.我方承诺本项目的报价不低于我方的成本价，否则，我方清楚将面临投标无效的风险；我方承诺不恶意低价谋取中标；我方对本项目的报价负责，中标后将严格按照本项目招标文件需求、签署的采购合同及我方在投标中所作的全部承诺履行。我方清楚，若我方以“报价太低而无法履约”为理由放弃本项目中标资格时，愿意接受主管部门的处理处罚。若我方中标本项目，我方的报价明显低于其他通过资格性及符合性审查投标人的报价时，本项目将成为重点监管、重点验收项目，我方将按时保质保量完成，并全力配合有关监管、验收工作；若未按上述要求履约，我方愿意接受主管部门的处理处罚。</w:t>
      </w:r>
    </w:p>
    <w:p>
      <w:pPr>
        <w:snapToGrid w:val="0"/>
        <w:spacing w:line="360" w:lineRule="auto"/>
        <w:ind w:firstLine="480" w:firstLineChars="200"/>
        <w:rPr>
          <w:rFonts w:ascii="宋体" w:hAnsi="宋体" w:cs="宋体" w:hint="eastAsia"/>
        </w:rPr>
      </w:pPr>
      <w:r>
        <w:rPr>
          <w:rFonts w:ascii="宋体" w:hAnsi="宋体" w:cs="宋体" w:hint="eastAsia"/>
        </w:rPr>
        <w:t>10.我方本次投标所提供的资料均为真实、合法有效，如被证实存在虚假资料，则视为隐瞒真实情况、提供虚假资料，愿意接受主管部门作出的行政处罚或被采购人列入相关黑名单。</w:t>
      </w:r>
    </w:p>
    <w:p>
      <w:pPr>
        <w:snapToGrid w:val="0"/>
        <w:spacing w:line="360" w:lineRule="auto"/>
        <w:ind w:firstLine="420"/>
        <w:rPr>
          <w:rFonts w:ascii="宋体" w:hAnsi="宋体" w:cs="宋体" w:hint="eastAsia"/>
        </w:rPr>
      </w:pPr>
      <w:r>
        <w:rPr>
          <w:rFonts w:ascii="宋体" w:hAnsi="宋体" w:cs="宋体" w:hint="eastAsia"/>
        </w:rPr>
        <w:t>11.我方仅指派我方法定代表人或授权我方正式员工（投标截止日前该员工已在我方正常缴纳三个月及以上社保）代表我方参与处理本项目采购相关事项，并全力配合采购人及采购代理机构核查对应被授权人社保信息。如有违反，我方愿意放弃投标或中标资格及相关质疑、投诉的权利。</w:t>
      </w:r>
    </w:p>
    <w:p>
      <w:pPr>
        <w:snapToGrid w:val="0"/>
        <w:spacing w:line="360" w:lineRule="auto"/>
        <w:ind w:firstLine="540"/>
        <w:rPr>
          <w:rFonts w:ascii="宋体" w:hAnsi="宋体" w:cs="宋体" w:hint="eastAsia"/>
          <w:szCs w:val="21"/>
        </w:rPr>
      </w:pPr>
      <w:r>
        <w:rPr>
          <w:rFonts w:ascii="宋体" w:hAnsi="宋体" w:cs="宋体" w:hint="eastAsia"/>
          <w:szCs w:val="21"/>
        </w:rPr>
        <w:t>12.我方保证在收到收费通知后按通知以转账或现金形式向采购代理机构指定的银行账号，一次性支付中标服务费（按招标文件“</w:t>
      </w:r>
      <w:r>
        <w:rPr>
          <w:rFonts w:ascii="宋体" w:hAnsi="宋体" w:cs="宋体" w:hint="eastAsia"/>
        </w:rPr>
        <w:t>对通用条款的补充内容</w:t>
      </w:r>
      <w:r>
        <w:rPr>
          <w:rFonts w:ascii="宋体" w:hAnsi="宋体" w:cs="宋体" w:hint="eastAsia"/>
          <w:szCs w:val="21"/>
        </w:rPr>
        <w:t>”“中标服务费”的要求执行）。因我方未及时领取中标通知书而引发的一切责任，由我方全权负责。由于被质疑、投诉而导致中标结果改变，我方将放弃对已缴纳的中标服务费追还的一切权利。</w:t>
      </w:r>
    </w:p>
    <w:p>
      <w:pPr>
        <w:snapToGrid w:val="0"/>
        <w:spacing w:line="360" w:lineRule="auto"/>
        <w:ind w:firstLine="480" w:firstLineChars="200"/>
        <w:rPr>
          <w:rFonts w:ascii="宋体" w:hAnsi="宋体" w:cs="宋体" w:hint="eastAsia"/>
        </w:rPr>
      </w:pPr>
      <w:r>
        <w:rPr>
          <w:rFonts w:ascii="宋体" w:hAnsi="宋体" w:cs="宋体" w:hint="eastAsia"/>
        </w:rPr>
        <w:t>13.我方不转包、分包。</w:t>
      </w:r>
    </w:p>
    <w:p>
      <w:pPr>
        <w:snapToGrid w:val="0"/>
        <w:spacing w:line="360" w:lineRule="auto"/>
        <w:ind w:firstLine="480" w:firstLineChars="200"/>
        <w:rPr>
          <w:rFonts w:ascii="宋体" w:hAnsi="宋体" w:cs="宋体" w:hint="eastAsia"/>
        </w:rPr>
      </w:pPr>
      <w:r>
        <w:rPr>
          <w:rFonts w:ascii="宋体" w:hAnsi="宋体" w:cs="宋体" w:hint="eastAsia"/>
        </w:rPr>
        <w:t>我方承诺如违反上述要求愿依照国家相关法律及招标文件相关要求进行处理，投标无效，将被提请政府采购监督管理部门列入不良记录名单并在网上曝光，给予一定年限内禁止参与政府采购活动或其他处罚，并承担由此给采购人带来的损失。</w:t>
      </w:r>
    </w:p>
    <w:p>
      <w:pPr>
        <w:widowControl/>
        <w:autoSpaceDE w:val="0"/>
        <w:autoSpaceDN w:val="0"/>
        <w:spacing w:line="360" w:lineRule="auto"/>
        <w:ind w:right="893" w:firstLine="480" w:firstLineChars="200"/>
        <w:textAlignment w:val="bottom"/>
        <w:rPr>
          <w:rFonts w:ascii="宋体" w:hAnsi="宋体" w:cs="宋体" w:hint="eastAsia"/>
          <w:szCs w:val="21"/>
        </w:rPr>
      </w:pPr>
    </w:p>
    <w:p>
      <w:pPr>
        <w:snapToGrid w:val="0"/>
        <w:ind w:firstLine="5280" w:firstLineChars="2200"/>
        <w:jc w:val="left"/>
        <w:rPr>
          <w:rFonts w:ascii="宋体" w:hAnsi="宋体" w:cs="宋体" w:hint="eastAsia"/>
          <w:szCs w:val="21"/>
        </w:rPr>
      </w:pPr>
      <w:r>
        <w:rPr>
          <w:rFonts w:ascii="宋体" w:hAnsi="宋体" w:cs="宋体" w:hint="eastAsia"/>
          <w:szCs w:val="21"/>
        </w:rPr>
        <w:t>投标人：</w:t>
      </w:r>
      <w:r>
        <w:rPr>
          <w:rFonts w:ascii="宋体" w:hAnsi="宋体" w:cs="宋体" w:hint="eastAsia"/>
          <w:szCs w:val="21"/>
          <w:u w:val="single"/>
        </w:rPr>
        <w:t xml:space="preserve">                     </w:t>
      </w:r>
      <w:r>
        <w:rPr>
          <w:rFonts w:ascii="宋体" w:hAnsi="宋体" w:cs="宋体" w:hint="eastAsia"/>
          <w:szCs w:val="21"/>
        </w:rPr>
        <w:t xml:space="preserve">   </w:t>
      </w:r>
    </w:p>
    <w:p>
      <w:pPr>
        <w:snapToGrid w:val="0"/>
        <w:ind w:firstLine="5280" w:firstLineChars="2200"/>
        <w:jc w:val="left"/>
        <w:rPr>
          <w:rFonts w:ascii="宋体" w:hAnsi="宋体" w:cs="宋体" w:hint="eastAsia"/>
          <w:b/>
          <w:sz w:val="32"/>
        </w:rPr>
      </w:pPr>
      <w:r>
        <w:rPr>
          <w:rFonts w:ascii="宋体" w:hAnsi="宋体" w:cs="宋体" w:hint="eastAsia"/>
          <w:szCs w:val="21"/>
        </w:rPr>
        <w:t>日期：</w:t>
      </w:r>
      <w:r>
        <w:rPr>
          <w:rFonts w:ascii="宋体" w:hAnsi="宋体" w:cs="宋体" w:hint="eastAsia"/>
          <w:szCs w:val="21"/>
          <w:u w:val="single"/>
        </w:rPr>
        <w:t xml:space="preserve">    </w:t>
      </w:r>
      <w:r>
        <w:rPr>
          <w:rFonts w:ascii="宋体" w:hAnsi="宋体" w:cs="宋体" w:hint="eastAsia"/>
          <w:szCs w:val="21"/>
        </w:rPr>
        <w:t>年</w:t>
      </w:r>
      <w:r>
        <w:rPr>
          <w:rFonts w:ascii="宋体" w:hAnsi="宋体" w:cs="宋体" w:hint="eastAsia"/>
          <w:szCs w:val="21"/>
          <w:u w:val="single"/>
        </w:rPr>
        <w:t xml:space="preserve">    </w:t>
      </w:r>
      <w:r>
        <w:rPr>
          <w:rFonts w:ascii="宋体" w:hAnsi="宋体" w:cs="宋体" w:hint="eastAsia"/>
          <w:szCs w:val="21"/>
        </w:rPr>
        <w:t>月</w:t>
      </w:r>
      <w:r>
        <w:rPr>
          <w:rFonts w:ascii="宋体" w:hAnsi="宋体" w:cs="宋体" w:hint="eastAsia"/>
          <w:szCs w:val="21"/>
          <w:u w:val="single"/>
        </w:rPr>
        <w:t xml:space="preserve">    </w:t>
      </w:r>
      <w:r>
        <w:rPr>
          <w:rFonts w:ascii="宋体" w:hAnsi="宋体" w:cs="宋体" w:hint="eastAsia"/>
          <w:szCs w:val="21"/>
        </w:rPr>
        <w:t>日</w:t>
      </w:r>
    </w:p>
    <w:p>
      <w:pPr>
        <w:pStyle w:val="BodyText"/>
        <w:rPr>
          <w:rFonts w:ascii="宋体" w:hAnsi="宋体" w:cs="宋体" w:hint="eastAsia"/>
        </w:rPr>
      </w:pPr>
    </w:p>
    <w:p>
      <w:pPr>
        <w:rPr>
          <w:rFonts w:ascii="宋体" w:hAnsi="宋体" w:cs="宋体" w:hint="eastAsia"/>
          <w:szCs w:val="21"/>
        </w:rPr>
      </w:pPr>
    </w:p>
    <w:p>
      <w:pPr>
        <w:rPr>
          <w:rFonts w:hint="eastAsia"/>
        </w:rPr>
      </w:pPr>
    </w:p>
    <w:p>
      <w:pPr>
        <w:pStyle w:val="Heading4"/>
        <w:rPr>
          <w:rFonts w:ascii="宋体" w:eastAsia="宋体" w:hAnsi="宋体" w:cs="宋体" w:hint="eastAsia"/>
          <w:sz w:val="21"/>
          <w:szCs w:val="21"/>
        </w:rPr>
      </w:pPr>
      <w:r>
        <w:rPr>
          <w:rFonts w:ascii="宋体" w:eastAsia="宋体" w:hAnsi="宋体" w:cs="宋体" w:hint="eastAsia"/>
          <w:sz w:val="21"/>
          <w:szCs w:val="21"/>
        </w:rPr>
        <w:t>三、诚信承诺函</w:t>
      </w:r>
    </w:p>
    <w:p>
      <w:pPr>
        <w:snapToGrid w:val="0"/>
        <w:rPr>
          <w:rFonts w:ascii="宋体" w:hAnsi="宋体" w:cs="宋体" w:hint="eastAsia"/>
          <w:szCs w:val="21"/>
        </w:rPr>
      </w:pPr>
      <w:r>
        <w:rPr>
          <w:rFonts w:ascii="宋体" w:hAnsi="宋体" w:cs="宋体" w:hint="eastAsia"/>
          <w:szCs w:val="21"/>
        </w:rPr>
        <w:t>致深圳市振东招标代理有限公司：</w:t>
      </w:r>
    </w:p>
    <w:p>
      <w:pPr>
        <w:snapToGrid w:val="0"/>
        <w:ind w:firstLine="480" w:firstLineChars="200"/>
        <w:rPr>
          <w:rFonts w:ascii="宋体" w:hAnsi="宋体" w:cs="宋体" w:hint="eastAsia"/>
          <w:szCs w:val="21"/>
        </w:rPr>
      </w:pPr>
    </w:p>
    <w:p>
      <w:pPr>
        <w:snapToGrid w:val="0"/>
        <w:ind w:firstLine="480" w:firstLineChars="200"/>
        <w:rPr>
          <w:rFonts w:ascii="宋体" w:hAnsi="宋体" w:cs="宋体" w:hint="eastAsia"/>
          <w:szCs w:val="21"/>
        </w:rPr>
      </w:pPr>
      <w:r>
        <w:rPr>
          <w:rFonts w:ascii="宋体" w:hAnsi="宋体" w:cs="宋体" w:hint="eastAsia"/>
          <w:szCs w:val="21"/>
        </w:rPr>
        <w:t>我方承诺在政府采购招标投标活动中不存在以下情形：</w:t>
      </w:r>
    </w:p>
    <w:p>
      <w:pPr>
        <w:snapToGrid w:val="0"/>
        <w:ind w:firstLine="480" w:firstLineChars="200"/>
        <w:rPr>
          <w:rFonts w:ascii="宋体" w:hAnsi="宋体" w:cs="宋体" w:hint="eastAsia"/>
          <w:szCs w:val="21"/>
        </w:rPr>
      </w:pPr>
      <w:r>
        <w:rPr>
          <w:rFonts w:ascii="宋体" w:hAnsi="宋体" w:cs="宋体" w:hint="eastAsia"/>
          <w:szCs w:val="21"/>
        </w:rPr>
        <w:t>（一）被纪检监察部门立案调查，违法违规事实成立的；</w:t>
      </w:r>
    </w:p>
    <w:p>
      <w:pPr>
        <w:snapToGrid w:val="0"/>
        <w:ind w:firstLine="480" w:firstLineChars="200"/>
        <w:rPr>
          <w:rFonts w:ascii="宋体" w:hAnsi="宋体" w:cs="宋体" w:hint="eastAsia"/>
          <w:szCs w:val="21"/>
        </w:rPr>
      </w:pPr>
      <w:r>
        <w:rPr>
          <w:rFonts w:ascii="宋体" w:hAnsi="宋体" w:cs="宋体" w:hint="eastAsia"/>
          <w:szCs w:val="21"/>
        </w:rPr>
        <w:t>（二）未按政府采购相关规定签订、履行采购合同，造成严重后果的；</w:t>
      </w:r>
    </w:p>
    <w:p>
      <w:pPr>
        <w:snapToGrid w:val="0"/>
        <w:ind w:firstLine="480" w:firstLineChars="200"/>
        <w:rPr>
          <w:rFonts w:ascii="宋体" w:hAnsi="宋体" w:cs="宋体" w:hint="eastAsia"/>
          <w:szCs w:val="21"/>
        </w:rPr>
      </w:pPr>
      <w:r>
        <w:rPr>
          <w:rFonts w:ascii="宋体" w:hAnsi="宋体" w:cs="宋体" w:hint="eastAsia"/>
          <w:szCs w:val="21"/>
        </w:rPr>
        <w:t>（三）隐瞒真实情况，提供虚假资料的；</w:t>
      </w:r>
    </w:p>
    <w:p>
      <w:pPr>
        <w:snapToGrid w:val="0"/>
        <w:ind w:firstLine="480" w:firstLineChars="200"/>
        <w:rPr>
          <w:rFonts w:ascii="宋体" w:hAnsi="宋体" w:cs="宋体" w:hint="eastAsia"/>
          <w:szCs w:val="21"/>
        </w:rPr>
      </w:pPr>
      <w:r>
        <w:rPr>
          <w:rFonts w:ascii="宋体" w:hAnsi="宋体" w:cs="宋体" w:hint="eastAsia"/>
          <w:szCs w:val="21"/>
        </w:rPr>
        <w:t>（四）以非法手段排斥其他供应商参与竞争的；</w:t>
      </w:r>
    </w:p>
    <w:p>
      <w:pPr>
        <w:snapToGrid w:val="0"/>
        <w:ind w:firstLine="480" w:firstLineChars="200"/>
        <w:rPr>
          <w:rFonts w:ascii="宋体" w:hAnsi="宋体" w:cs="宋体" w:hint="eastAsia"/>
          <w:szCs w:val="21"/>
        </w:rPr>
      </w:pPr>
      <w:r>
        <w:rPr>
          <w:rFonts w:ascii="宋体" w:hAnsi="宋体" w:cs="宋体" w:hint="eastAsia"/>
          <w:szCs w:val="21"/>
        </w:rPr>
        <w:t>（五）与其他采购参加人串通投标的；</w:t>
      </w:r>
    </w:p>
    <w:p>
      <w:pPr>
        <w:snapToGrid w:val="0"/>
        <w:ind w:firstLine="480" w:firstLineChars="200"/>
        <w:rPr>
          <w:rFonts w:ascii="宋体" w:hAnsi="宋体" w:cs="宋体" w:hint="eastAsia"/>
          <w:szCs w:val="21"/>
        </w:rPr>
      </w:pPr>
      <w:r>
        <w:rPr>
          <w:rFonts w:ascii="宋体" w:hAnsi="宋体" w:cs="宋体" w:hint="eastAsia"/>
          <w:szCs w:val="21"/>
        </w:rPr>
        <w:t>（六）在采购活动中应当回避而未回避的；</w:t>
      </w:r>
    </w:p>
    <w:p>
      <w:pPr>
        <w:snapToGrid w:val="0"/>
        <w:ind w:firstLine="480" w:firstLineChars="200"/>
        <w:rPr>
          <w:rFonts w:ascii="宋体" w:hAnsi="宋体" w:cs="宋体" w:hint="eastAsia"/>
          <w:szCs w:val="21"/>
        </w:rPr>
      </w:pPr>
      <w:r>
        <w:rPr>
          <w:rFonts w:ascii="宋体" w:hAnsi="宋体" w:cs="宋体" w:hint="eastAsia"/>
          <w:szCs w:val="21"/>
        </w:rPr>
        <w:t>（七）恶意投诉的；</w:t>
      </w:r>
    </w:p>
    <w:p>
      <w:pPr>
        <w:snapToGrid w:val="0"/>
        <w:ind w:firstLine="480" w:firstLineChars="200"/>
        <w:rPr>
          <w:rFonts w:ascii="宋体" w:hAnsi="宋体" w:cs="宋体" w:hint="eastAsia"/>
          <w:szCs w:val="21"/>
        </w:rPr>
      </w:pPr>
      <w:r>
        <w:rPr>
          <w:rFonts w:ascii="宋体" w:hAnsi="宋体" w:cs="宋体" w:hint="eastAsia"/>
          <w:szCs w:val="21"/>
        </w:rPr>
        <w:t>（八）向采购项目相关人行贿或者提供其他不当利益的；</w:t>
      </w:r>
    </w:p>
    <w:p>
      <w:pPr>
        <w:snapToGrid w:val="0"/>
        <w:ind w:firstLine="480" w:firstLineChars="200"/>
        <w:rPr>
          <w:rFonts w:ascii="宋体" w:hAnsi="宋体" w:cs="宋体" w:hint="eastAsia"/>
          <w:szCs w:val="21"/>
        </w:rPr>
      </w:pPr>
      <w:r>
        <w:rPr>
          <w:rFonts w:ascii="宋体" w:hAnsi="宋体" w:cs="宋体" w:hint="eastAsia"/>
          <w:szCs w:val="21"/>
        </w:rPr>
        <w:t>（九）阻碍、抗拒主管部门监督检查的；</w:t>
      </w:r>
    </w:p>
    <w:p>
      <w:pPr>
        <w:spacing w:line="360" w:lineRule="auto"/>
        <w:ind w:firstLine="480" w:firstLineChars="200"/>
        <w:rPr>
          <w:rFonts w:ascii="宋体" w:hAnsi="宋体" w:cs="宋体" w:hint="eastAsia"/>
          <w:szCs w:val="21"/>
        </w:rPr>
      </w:pPr>
      <w:r>
        <w:rPr>
          <w:rFonts w:ascii="宋体" w:hAnsi="宋体" w:cs="宋体" w:hint="eastAsia"/>
          <w:szCs w:val="21"/>
        </w:rPr>
        <w:t>（十）向采购代理机构及相关工作人员以各类形式进行施压的；</w:t>
      </w:r>
    </w:p>
    <w:p>
      <w:pPr>
        <w:snapToGrid w:val="0"/>
        <w:ind w:firstLine="480" w:firstLineChars="200"/>
        <w:rPr>
          <w:rFonts w:ascii="宋体" w:hAnsi="宋体" w:cs="宋体" w:hint="eastAsia"/>
          <w:szCs w:val="21"/>
        </w:rPr>
      </w:pPr>
      <w:r>
        <w:rPr>
          <w:rFonts w:ascii="宋体" w:hAnsi="宋体" w:cs="宋体" w:hint="eastAsia"/>
          <w:szCs w:val="21"/>
        </w:rPr>
        <w:t>（十一）履约检查不合格或者评价为差的；</w:t>
      </w:r>
    </w:p>
    <w:p>
      <w:pPr>
        <w:snapToGrid w:val="0"/>
        <w:ind w:firstLine="480" w:firstLineChars="200"/>
        <w:rPr>
          <w:rFonts w:ascii="宋体" w:hAnsi="宋体" w:cs="宋体" w:hint="eastAsia"/>
          <w:szCs w:val="21"/>
        </w:rPr>
      </w:pPr>
      <w:r>
        <w:rPr>
          <w:rFonts w:ascii="宋体" w:hAnsi="宋体" w:cs="宋体" w:hint="eastAsia"/>
          <w:szCs w:val="21"/>
        </w:rPr>
        <w:t>（十二）主管部门认定的其他情形。</w:t>
      </w:r>
    </w:p>
    <w:p>
      <w:pPr>
        <w:snapToGrid w:val="0"/>
        <w:ind w:firstLine="480" w:firstLineChars="200"/>
        <w:rPr>
          <w:rFonts w:ascii="宋体" w:hAnsi="宋体" w:cs="宋体" w:hint="eastAsia"/>
          <w:szCs w:val="21"/>
        </w:rPr>
      </w:pPr>
      <w:r>
        <w:rPr>
          <w:rFonts w:ascii="宋体" w:hAnsi="宋体" w:cs="宋体" w:hint="eastAsia"/>
          <w:szCs w:val="21"/>
        </w:rPr>
        <w:t>如我方在本项目开标日前三年内存在上述行为超出法定追诉时效未被追诉、或者上述情节轻微未给予禁止参加政府采购的行政处罚，我司自愿承担虚假应标以及其他一切不利的法律后果。</w:t>
      </w:r>
    </w:p>
    <w:p>
      <w:pPr>
        <w:snapToGrid w:val="0"/>
        <w:ind w:firstLine="480" w:firstLineChars="200"/>
        <w:rPr>
          <w:rFonts w:ascii="宋体" w:hAnsi="宋体" w:cs="宋体" w:hint="eastAsia"/>
          <w:szCs w:val="21"/>
        </w:rPr>
      </w:pPr>
      <w:r>
        <w:rPr>
          <w:rFonts w:ascii="宋体" w:hAnsi="宋体" w:cs="宋体" w:hint="eastAsia"/>
          <w:szCs w:val="21"/>
        </w:rPr>
        <w:t>特此承诺。</w:t>
      </w:r>
    </w:p>
    <w:p>
      <w:pPr>
        <w:snapToGrid w:val="0"/>
        <w:ind w:firstLine="480" w:firstLineChars="200"/>
        <w:rPr>
          <w:rFonts w:ascii="宋体" w:hAnsi="宋体" w:cs="宋体" w:hint="eastAsia"/>
          <w:szCs w:val="21"/>
        </w:rPr>
      </w:pPr>
    </w:p>
    <w:p>
      <w:pPr>
        <w:snapToGrid w:val="0"/>
        <w:ind w:firstLine="5280" w:firstLineChars="2200"/>
        <w:jc w:val="left"/>
        <w:rPr>
          <w:rFonts w:ascii="宋体" w:hAnsi="宋体" w:cs="宋体" w:hint="eastAsia"/>
          <w:szCs w:val="21"/>
        </w:rPr>
      </w:pPr>
      <w:r>
        <w:rPr>
          <w:rFonts w:ascii="宋体" w:hAnsi="宋体" w:cs="宋体" w:hint="eastAsia"/>
          <w:szCs w:val="21"/>
        </w:rPr>
        <w:t>投标人：</w:t>
      </w:r>
    </w:p>
    <w:p>
      <w:pPr>
        <w:snapToGrid w:val="0"/>
        <w:ind w:firstLine="5280" w:firstLineChars="2200"/>
        <w:jc w:val="left"/>
        <w:rPr>
          <w:rFonts w:ascii="宋体" w:hAnsi="宋体" w:cs="宋体" w:hint="eastAsia"/>
          <w:b/>
          <w:sz w:val="32"/>
        </w:rPr>
      </w:pPr>
      <w:r>
        <w:rPr>
          <w:rFonts w:ascii="宋体" w:hAnsi="宋体" w:cs="宋体" w:hint="eastAsia"/>
          <w:szCs w:val="21"/>
        </w:rPr>
        <w:t>日期：年月日</w:t>
      </w:r>
    </w:p>
    <w:p>
      <w:pPr>
        <w:pStyle w:val="BodyText"/>
        <w:rPr>
          <w:rFonts w:ascii="宋体" w:hAnsi="宋体" w:cs="宋体" w:hint="eastAsia"/>
        </w:rPr>
      </w:pPr>
    </w:p>
    <w:p>
      <w:pPr>
        <w:pStyle w:val="TOC1"/>
        <w:rPr>
          <w:b w:val="0"/>
          <w:bCs w:val="0"/>
        </w:rPr>
      </w:pPr>
      <w:r>
        <w:rPr>
          <w:rFonts w:ascii="宋体" w:hAnsi="宋体" w:cs="宋体" w:hint="eastAsia"/>
          <w:szCs w:val="16"/>
        </w:rPr>
        <w:br w:type="page"/>
      </w:r>
    </w:p>
    <w:p/>
    <w:p>
      <w:pPr>
        <w:pStyle w:val="Heading4"/>
        <w:spacing w:before="120" w:after="120"/>
        <w:rPr>
          <w:rFonts w:ascii="宋体" w:eastAsia="宋体" w:hAnsi="宋体" w:cs="宋体" w:hint="eastAsia"/>
          <w:sz w:val="21"/>
          <w:szCs w:val="16"/>
        </w:rPr>
      </w:pPr>
      <w:r>
        <w:rPr>
          <w:rFonts w:ascii="宋体" w:eastAsia="宋体" w:hAnsi="宋体" w:cs="宋体" w:hint="eastAsia"/>
          <w:sz w:val="21"/>
          <w:szCs w:val="16"/>
        </w:rPr>
        <w:t>四、资格要求证明材料：</w:t>
      </w:r>
    </w:p>
    <w:p>
      <w:pPr>
        <w:ind w:left="632" w:hanging="720" w:hangingChars="300"/>
        <w:rPr>
          <w:b/>
          <w:bCs/>
        </w:rPr>
      </w:pPr>
      <w:r>
        <w:rPr>
          <w:rFonts w:hint="eastAsia"/>
          <w:b/>
          <w:bCs/>
        </w:rPr>
        <w:t>注意：资格证明材料必须至少包含招标公告中“申请人的资格要求”中的相关证明材料（均要求提供证明材料扫描件，原件备查）。</w:t>
      </w:r>
    </w:p>
    <w:p>
      <w:pPr>
        <w:rPr>
          <w:b/>
          <w:bCs/>
        </w:rPr>
      </w:pPr>
    </w:p>
    <w:p>
      <w:pPr>
        <w:ind w:left="632" w:hanging="720" w:hangingChars="300"/>
        <w:rPr>
          <w:b/>
          <w:bCs/>
        </w:rPr>
      </w:pPr>
    </w:p>
    <w:p>
      <w:pPr>
        <w:ind w:left="632" w:hanging="720" w:hangingChars="300"/>
        <w:rPr>
          <w:sz w:val="36"/>
          <w:szCs w:val="36"/>
        </w:rPr>
      </w:pPr>
      <w:r>
        <w:rPr>
          <w:rFonts w:hint="eastAsia"/>
          <w:b/>
          <w:bCs/>
        </w:rPr>
        <w:t>……</w:t>
      </w:r>
    </w:p>
    <w:p>
      <w:pPr>
        <w:spacing w:before="120" w:after="120"/>
        <w:rPr>
          <w:rFonts w:ascii="宋体" w:hAnsi="宋体" w:cs="宋体" w:hint="eastAsia"/>
          <w:szCs w:val="16"/>
        </w:rPr>
      </w:pPr>
    </w:p>
    <w:p>
      <w:pPr>
        <w:pStyle w:val="Heading4"/>
        <w:spacing w:before="120" w:after="120"/>
        <w:rPr>
          <w:rFonts w:ascii="宋体" w:eastAsia="宋体" w:hAnsi="宋体" w:cs="宋体" w:hint="eastAsia"/>
          <w:sz w:val="21"/>
          <w:szCs w:val="16"/>
        </w:rPr>
      </w:pPr>
      <w:r>
        <w:rPr>
          <w:rFonts w:ascii="宋体" w:eastAsia="宋体" w:hAnsi="宋体" w:cs="宋体" w:hint="eastAsia"/>
          <w:sz w:val="21"/>
          <w:szCs w:val="16"/>
        </w:rPr>
        <w:t>五、中小企业声明函及残疾人福利性单位声明函（或省级以上监狱管理局、戒毒管理局（含新疆生产建设兵团）出具的属于监狱企业的证明文件）</w:t>
      </w:r>
    </w:p>
    <w:p>
      <w:pPr>
        <w:ind w:firstLine="480" w:firstLineChars="200"/>
        <w:jc w:val="center"/>
        <w:rPr>
          <w:rFonts w:ascii="宋体" w:hAnsi="宋体" w:cs="宋体" w:hint="eastAsia"/>
          <w:b/>
          <w:bCs/>
          <w:sz w:val="24"/>
        </w:rPr>
      </w:pPr>
    </w:p>
    <w:p>
      <w:pPr>
        <w:jc w:val="left"/>
        <w:rPr>
          <w:rFonts w:ascii="宋体" w:hAnsi="宋体" w:cs="宋体" w:hint="eastAsia"/>
          <w:bCs/>
          <w:kern w:val="0"/>
          <w:sz w:val="24"/>
          <w:szCs w:val="32"/>
        </w:rPr>
      </w:pPr>
      <w:r>
        <w:rPr>
          <w:rFonts w:ascii="宋体" w:hAnsi="宋体" w:cs="宋体" w:hint="eastAsia"/>
          <w:bCs/>
          <w:kern w:val="0"/>
          <w:sz w:val="24"/>
          <w:szCs w:val="32"/>
        </w:rPr>
        <w:t>备注：该部分内容由供应商根据自身情况提供相关内容，不符合要求的供应商可以不提供。</w:t>
      </w:r>
    </w:p>
    <w:p>
      <w:pPr>
        <w:ind w:firstLine="480" w:firstLineChars="200"/>
        <w:rPr>
          <w:rFonts w:ascii="宋体" w:hAnsi="宋体" w:cs="宋体" w:hint="eastAsia"/>
          <w:b/>
          <w:color w:val="000000"/>
          <w:szCs w:val="22"/>
        </w:rPr>
      </w:pPr>
      <w:r>
        <w:rPr>
          <w:rFonts w:ascii="宋体" w:hAnsi="宋体" w:cs="宋体" w:hint="eastAsia"/>
          <w:b/>
          <w:color w:val="000000"/>
          <w:szCs w:val="22"/>
        </w:rPr>
        <w:t>填写指引：</w:t>
      </w:r>
    </w:p>
    <w:p>
      <w:pPr>
        <w:ind w:firstLine="480" w:firstLineChars="200"/>
        <w:rPr>
          <w:rFonts w:ascii="宋体" w:hAnsi="宋体" w:cs="宋体" w:hint="eastAsia"/>
          <w:b/>
          <w:color w:val="000000"/>
          <w:szCs w:val="22"/>
        </w:rPr>
      </w:pPr>
      <w:r>
        <w:rPr>
          <w:rFonts w:ascii="宋体" w:hAnsi="宋体" w:cs="宋体" w:hint="eastAsia"/>
          <w:b/>
          <w:color w:val="000000"/>
          <w:szCs w:val="22"/>
        </w:rPr>
        <w:t>1、该部分内容由供应商根据自身实际情况填写，不符合要求的供应商可以不填写或直接删除相应的声明函。供应商自行对声明内容的真实性负责；如提供虚假声明，将报送主管部门进行行政处罚。</w:t>
      </w:r>
      <w:r>
        <w:rPr>
          <w:rFonts w:ascii="宋体" w:hAnsi="宋体" w:cs="宋体" w:hint="eastAsia"/>
          <w:b/>
          <w:color w:val="000000"/>
        </w:rPr>
        <w:t>若无法确定是否为中小微企业，可查阅《关于印发中小企业划型标准规定的通知》（工信部联企业【2011】300号）或向深圳市中小企业服务局咨询。</w:t>
      </w:r>
    </w:p>
    <w:p>
      <w:pPr>
        <w:ind w:firstLine="480" w:firstLineChars="200"/>
        <w:rPr>
          <w:rFonts w:ascii="宋体" w:hAnsi="宋体" w:cs="宋体" w:hint="eastAsia"/>
          <w:b/>
          <w:color w:val="000000"/>
          <w:szCs w:val="22"/>
        </w:rPr>
      </w:pPr>
      <w:r>
        <w:rPr>
          <w:rFonts w:ascii="宋体" w:hAnsi="宋体" w:cs="宋体" w:hint="eastAsia"/>
          <w:b/>
          <w:color w:val="000000"/>
          <w:szCs w:val="22"/>
        </w:rPr>
        <w:t>2、该部分内容填写需要参考的相关文件：（1）《深圳市财政局关于落实有关政府采购优惠政策的意见》（深财购函【2019】868号）；(2)财政部《政府采购促进中小企业发展管理办法》（财库〔2020〕46号）；(3) 《工业和信息化部、国家统计局、国家发展和改革委员会、财政部关于印发中小企业划型标准规定的通知》（工信部联企业〔2011〕300 号）。</w:t>
      </w:r>
    </w:p>
    <w:p>
      <w:pPr>
        <w:ind w:firstLine="480" w:firstLineChars="200"/>
        <w:rPr>
          <w:rFonts w:ascii="宋体" w:hAnsi="宋体" w:cs="宋体" w:hint="eastAsia"/>
          <w:b/>
          <w:color w:val="000000"/>
          <w:szCs w:val="22"/>
        </w:rPr>
      </w:pPr>
      <w:r>
        <w:rPr>
          <w:rFonts w:ascii="宋体" w:hAnsi="宋体" w:cs="宋体" w:hint="eastAsia"/>
          <w:b/>
          <w:color w:val="000000"/>
          <w:szCs w:val="22"/>
        </w:rPr>
        <w:t>3、请依照提供的格式和内容填写声明函，不要随意变更格式或增删内容；声明函不需要盖章或签字；满足多项优惠政策的企业，不重复享受多项价格扣除政策。</w:t>
      </w:r>
    </w:p>
    <w:p>
      <w:pPr>
        <w:ind w:firstLine="480" w:firstLineChars="200"/>
        <w:rPr>
          <w:rFonts w:ascii="宋体" w:hAnsi="宋体" w:cs="宋体" w:hint="eastAsia"/>
          <w:b/>
          <w:color w:val="000000"/>
          <w:szCs w:val="22"/>
        </w:rPr>
      </w:pPr>
      <w:r>
        <w:rPr>
          <w:rFonts w:ascii="宋体" w:hAnsi="宋体" w:cs="宋体" w:hint="eastAsia"/>
          <w:b/>
          <w:color w:val="000000"/>
          <w:szCs w:val="22"/>
        </w:rPr>
        <w:t>4、声明函具体填写要求：</w:t>
      </w:r>
    </w:p>
    <w:p>
      <w:pPr>
        <w:ind w:firstLine="480" w:firstLineChars="200"/>
        <w:rPr>
          <w:rFonts w:ascii="宋体" w:hAnsi="宋体" w:cs="宋体" w:hint="eastAsia"/>
          <w:b/>
          <w:color w:val="000000"/>
          <w:szCs w:val="22"/>
        </w:rPr>
      </w:pPr>
      <w:r>
        <w:rPr>
          <w:rFonts w:ascii="宋体" w:hAnsi="宋体" w:cs="宋体" w:hint="eastAsia"/>
          <w:b/>
          <w:color w:val="000000"/>
          <w:szCs w:val="22"/>
        </w:rPr>
        <w:t>（1）声明是残疾人福利性单位须填写《残疾人福利性单位声明函》的三项内容（填写位置的字体已加粗），具体参照以上《中小企业声明函》填写要求执行。</w:t>
      </w:r>
    </w:p>
    <w:p>
      <w:pPr>
        <w:ind w:firstLine="480" w:firstLineChars="200"/>
        <w:rPr>
          <w:rFonts w:ascii="宋体" w:hAnsi="宋体" w:cs="宋体" w:hint="eastAsia"/>
          <w:b/>
          <w:color w:val="000000"/>
          <w:szCs w:val="22"/>
        </w:rPr>
      </w:pPr>
      <w:r>
        <w:rPr>
          <w:rFonts w:ascii="宋体" w:hAnsi="宋体" w:cs="宋体" w:hint="eastAsia"/>
          <w:b/>
          <w:color w:val="000000"/>
          <w:szCs w:val="22"/>
        </w:rPr>
        <w:t>（2）声明是监狱企业须填写《监狱企业声明函》的三项内容（填写位置的字体已加粗），具体参照以上《中小企业声明函》填写要求执行。</w:t>
      </w:r>
    </w:p>
    <w:p>
      <w:pPr>
        <w:rPr>
          <w:rFonts w:ascii="宋体" w:hAnsi="宋体" w:cs="宋体" w:hint="eastAsia"/>
          <w:color w:val="000000"/>
        </w:rPr>
      </w:pPr>
    </w:p>
    <w:p>
      <w:pPr>
        <w:jc w:val="center"/>
        <w:rPr>
          <w:rFonts w:ascii="宋体" w:hAnsi="宋体" w:cs="宋体" w:hint="eastAsia"/>
          <w:b/>
          <w:kern w:val="0"/>
          <w:szCs w:val="21"/>
        </w:rPr>
      </w:pPr>
      <w:r>
        <w:rPr>
          <w:rFonts w:ascii="宋体" w:hAnsi="宋体" w:cs="宋体" w:hint="eastAsia"/>
          <w:b/>
          <w:kern w:val="0"/>
          <w:szCs w:val="21"/>
        </w:rPr>
        <w:t>（一）中小企业声明函</w:t>
      </w:r>
    </w:p>
    <w:p>
      <w:pPr>
        <w:pStyle w:val="BodyText"/>
        <w:spacing w:before="55" w:line="302" w:lineRule="auto"/>
        <w:ind w:right="415" w:firstLine="640"/>
        <w:rPr>
          <w:rFonts w:ascii="宋体" w:hAnsi="宋体" w:cs="宋体" w:hint="eastAsia"/>
          <w:spacing w:val="-2"/>
          <w:sz w:val="21"/>
          <w:szCs w:val="21"/>
        </w:rPr>
      </w:pPr>
    </w:p>
    <w:p>
      <w:pPr>
        <w:pStyle w:val="BodyText"/>
        <w:spacing w:before="55" w:line="302" w:lineRule="auto"/>
        <w:ind w:right="415" w:firstLine="640"/>
        <w:rPr>
          <w:rFonts w:ascii="宋体" w:hAnsi="宋体" w:cs="宋体" w:hint="eastAsia"/>
          <w:b w:val="0"/>
          <w:bCs w:val="0"/>
          <w:spacing w:val="-2"/>
          <w:sz w:val="21"/>
          <w:szCs w:val="21"/>
        </w:rPr>
      </w:pPr>
      <w:r>
        <w:rPr>
          <w:rFonts w:ascii="宋体" w:hAnsi="宋体" w:cs="宋体" w:hint="eastAsia"/>
          <w:b w:val="0"/>
          <w:bCs w:val="0"/>
          <w:spacing w:val="-2"/>
          <w:sz w:val="21"/>
          <w:szCs w:val="21"/>
        </w:rPr>
        <w:t>本公司郑重声明，根据《政府采购促进中小企业发展管理办法》（财库﹝2020﹞46 号）的规定，本公司参加</w:t>
      </w:r>
      <w:r>
        <w:rPr>
          <w:rFonts w:ascii="宋体" w:hAnsi="宋体" w:cs="宋体" w:hint="eastAsia"/>
          <w:spacing w:val="-2"/>
          <w:sz w:val="21"/>
          <w:szCs w:val="21"/>
          <w:u w:val="single"/>
        </w:rPr>
        <w:t>（单位名称）</w:t>
      </w:r>
      <w:r>
        <w:rPr>
          <w:rFonts w:ascii="宋体" w:hAnsi="宋体" w:cs="宋体" w:hint="eastAsia"/>
          <w:b w:val="0"/>
          <w:bCs w:val="0"/>
          <w:spacing w:val="-2"/>
          <w:sz w:val="21"/>
          <w:szCs w:val="21"/>
        </w:rPr>
        <w:t>的</w:t>
      </w:r>
      <w:r>
        <w:rPr>
          <w:rFonts w:ascii="宋体" w:hAnsi="宋体" w:cs="宋体" w:hint="eastAsia"/>
          <w:spacing w:val="-2"/>
          <w:sz w:val="21"/>
          <w:szCs w:val="21"/>
          <w:u w:val="single"/>
        </w:rPr>
        <w:t>（项目名称）</w:t>
      </w:r>
      <w:r>
        <w:rPr>
          <w:rFonts w:ascii="宋体" w:hAnsi="宋体" w:cs="宋体" w:hint="eastAsia"/>
          <w:b w:val="0"/>
          <w:bCs w:val="0"/>
          <w:spacing w:val="-2"/>
          <w:sz w:val="21"/>
          <w:szCs w:val="21"/>
        </w:rPr>
        <w:t>采购活动，提供的货物全部由符合政策要求的中小企业制造。相关企业（含联合体中的中小企业、签订分包意向协议的中小企业）的具体情况如下：</w:t>
      </w:r>
    </w:p>
    <w:p>
      <w:pPr>
        <w:pStyle w:val="BodyText"/>
        <w:spacing w:before="55" w:line="302" w:lineRule="auto"/>
        <w:ind w:right="415" w:firstLine="640"/>
        <w:rPr>
          <w:rFonts w:ascii="宋体" w:hAnsi="宋体" w:cs="宋体" w:hint="eastAsia"/>
          <w:spacing w:val="-2"/>
          <w:sz w:val="21"/>
          <w:szCs w:val="21"/>
        </w:rPr>
      </w:pPr>
      <w:r>
        <w:rPr>
          <w:rFonts w:ascii="宋体" w:hAnsi="宋体" w:cs="宋体" w:hint="eastAsia"/>
          <w:b w:val="0"/>
          <w:bCs w:val="0"/>
          <w:spacing w:val="-2"/>
          <w:sz w:val="21"/>
          <w:szCs w:val="21"/>
        </w:rPr>
        <w:t xml:space="preserve"> 1.</w:t>
      </w:r>
      <w:r>
        <w:rPr>
          <w:rFonts w:ascii="宋体" w:hAnsi="宋体" w:cs="宋体" w:hint="eastAsia"/>
          <w:spacing w:val="-2"/>
          <w:sz w:val="21"/>
          <w:szCs w:val="21"/>
          <w:u w:val="single"/>
        </w:rPr>
        <w:t>（标的名称）</w:t>
      </w:r>
      <w:r>
        <w:rPr>
          <w:rFonts w:ascii="宋体" w:hAnsi="宋体" w:cs="宋体" w:hint="eastAsia"/>
          <w:b w:val="0"/>
          <w:bCs w:val="0"/>
          <w:spacing w:val="-2"/>
          <w:sz w:val="21"/>
          <w:szCs w:val="21"/>
        </w:rPr>
        <w:t>，属于</w:t>
      </w:r>
      <w:r>
        <w:rPr>
          <w:rFonts w:ascii="宋体" w:hAnsi="宋体" w:cs="宋体" w:hint="eastAsia"/>
          <w:spacing w:val="-2"/>
          <w:sz w:val="21"/>
          <w:szCs w:val="21"/>
          <w:u w:val="single"/>
        </w:rPr>
        <w:t>（采购文件中明确的所属行业）</w:t>
      </w:r>
      <w:r>
        <w:rPr>
          <w:rFonts w:ascii="宋体" w:hAnsi="宋体" w:cs="宋体" w:hint="eastAsia"/>
          <w:b w:val="0"/>
          <w:bCs w:val="0"/>
          <w:spacing w:val="-2"/>
          <w:sz w:val="21"/>
          <w:szCs w:val="21"/>
        </w:rPr>
        <w:t>行业；制造商为</w:t>
      </w:r>
      <w:r>
        <w:rPr>
          <w:rFonts w:ascii="宋体" w:hAnsi="宋体" w:cs="宋体" w:hint="eastAsia"/>
          <w:spacing w:val="-2"/>
          <w:sz w:val="21"/>
          <w:szCs w:val="21"/>
          <w:u w:val="single"/>
        </w:rPr>
        <w:t>（企业名称）</w:t>
      </w:r>
      <w:r>
        <w:rPr>
          <w:rFonts w:ascii="宋体" w:hAnsi="宋体" w:cs="宋体" w:hint="eastAsia"/>
          <w:b w:val="0"/>
          <w:bCs w:val="0"/>
          <w:spacing w:val="-2"/>
          <w:sz w:val="21"/>
          <w:szCs w:val="21"/>
        </w:rPr>
        <w:t>，从业人员</w:t>
      </w:r>
      <w:r>
        <w:rPr>
          <w:rFonts w:ascii="宋体" w:hAnsi="宋体" w:cs="宋体" w:hint="eastAsia"/>
          <w:spacing w:val="-2"/>
          <w:sz w:val="21"/>
          <w:szCs w:val="21"/>
          <w:u w:val="single"/>
        </w:rPr>
        <w:t xml:space="preserve">   </w:t>
      </w:r>
      <w:r>
        <w:rPr>
          <w:rFonts w:ascii="宋体" w:hAnsi="宋体" w:cs="宋体" w:hint="eastAsia"/>
          <w:spacing w:val="-2"/>
          <w:sz w:val="21"/>
          <w:szCs w:val="21"/>
          <w:u w:val="single"/>
        </w:rPr>
        <w:tab/>
      </w:r>
      <w:r>
        <w:rPr>
          <w:rFonts w:ascii="宋体" w:hAnsi="宋体" w:cs="宋体" w:hint="eastAsia"/>
          <w:spacing w:val="-2"/>
          <w:sz w:val="21"/>
          <w:szCs w:val="21"/>
        </w:rPr>
        <w:t>人</w:t>
      </w:r>
      <w:r>
        <w:rPr>
          <w:rFonts w:ascii="宋体" w:hAnsi="宋体" w:cs="宋体" w:hint="eastAsia"/>
          <w:b w:val="0"/>
          <w:bCs w:val="0"/>
          <w:spacing w:val="-2"/>
          <w:sz w:val="21"/>
          <w:szCs w:val="21"/>
        </w:rPr>
        <w:t>，营业收入为</w:t>
      </w:r>
      <w:r>
        <w:rPr>
          <w:rFonts w:ascii="宋体" w:hAnsi="宋体" w:cs="宋体" w:hint="eastAsia"/>
          <w:spacing w:val="-2"/>
          <w:sz w:val="21"/>
          <w:szCs w:val="21"/>
          <w:u w:val="single"/>
        </w:rPr>
        <w:t xml:space="preserve">   </w:t>
      </w:r>
      <w:r>
        <w:rPr>
          <w:rFonts w:ascii="宋体" w:hAnsi="宋体" w:cs="宋体" w:hint="eastAsia"/>
          <w:spacing w:val="-2"/>
          <w:sz w:val="21"/>
          <w:szCs w:val="21"/>
          <w:u w:val="single"/>
        </w:rPr>
        <w:tab/>
      </w:r>
      <w:r>
        <w:rPr>
          <w:rFonts w:ascii="宋体" w:hAnsi="宋体" w:cs="宋体" w:hint="eastAsia"/>
          <w:spacing w:val="-2"/>
          <w:sz w:val="21"/>
          <w:szCs w:val="21"/>
        </w:rPr>
        <w:t>万元</w:t>
      </w:r>
      <w:r>
        <w:rPr>
          <w:rFonts w:ascii="宋体" w:hAnsi="宋体" w:cs="宋体" w:hint="eastAsia"/>
          <w:b w:val="0"/>
          <w:bCs w:val="0"/>
          <w:spacing w:val="-2"/>
          <w:sz w:val="21"/>
          <w:szCs w:val="21"/>
        </w:rPr>
        <w:t>，资产总额为</w:t>
      </w:r>
      <w:r>
        <w:rPr>
          <w:rFonts w:ascii="宋体" w:hAnsi="宋体" w:cs="宋体" w:hint="eastAsia"/>
          <w:spacing w:val="-2"/>
          <w:sz w:val="21"/>
          <w:szCs w:val="21"/>
          <w:u w:val="single"/>
        </w:rPr>
        <w:t xml:space="preserve">     </w:t>
      </w:r>
      <w:r>
        <w:rPr>
          <w:rFonts w:ascii="宋体" w:hAnsi="宋体" w:cs="宋体" w:hint="eastAsia"/>
          <w:spacing w:val="-2"/>
          <w:sz w:val="21"/>
          <w:szCs w:val="21"/>
          <w:u w:val="single"/>
        </w:rPr>
        <w:tab/>
      </w:r>
      <w:r>
        <w:rPr>
          <w:rFonts w:ascii="宋体" w:hAnsi="宋体" w:cs="宋体" w:hint="eastAsia"/>
          <w:spacing w:val="-2"/>
          <w:sz w:val="21"/>
          <w:szCs w:val="21"/>
        </w:rPr>
        <w:t>万元</w:t>
      </w:r>
      <w:r>
        <w:rPr>
          <w:rFonts w:ascii="宋体" w:hAnsi="宋体" w:cs="宋体" w:hint="eastAsia"/>
          <w:b w:val="0"/>
          <w:bCs w:val="0"/>
          <w:spacing w:val="-2"/>
          <w:sz w:val="21"/>
          <w:szCs w:val="21"/>
        </w:rPr>
        <w:t>，属于</w:t>
      </w:r>
      <w:r>
        <w:rPr>
          <w:rFonts w:ascii="宋体" w:hAnsi="宋体" w:cs="宋体" w:hint="eastAsia"/>
          <w:spacing w:val="-2"/>
          <w:sz w:val="21"/>
          <w:szCs w:val="21"/>
          <w:u w:val="single"/>
        </w:rPr>
        <w:t>（中型企业、小型企业、微型企业）</w:t>
      </w:r>
      <w:r>
        <w:rPr>
          <w:rFonts w:ascii="宋体" w:hAnsi="宋体" w:cs="宋体" w:hint="eastAsia"/>
          <w:spacing w:val="-2"/>
          <w:sz w:val="21"/>
          <w:szCs w:val="21"/>
        </w:rPr>
        <w:t>；</w:t>
      </w:r>
    </w:p>
    <w:p>
      <w:pPr>
        <w:pStyle w:val="BodyText"/>
        <w:spacing w:before="55" w:line="302" w:lineRule="auto"/>
        <w:ind w:right="415" w:firstLine="640"/>
        <w:rPr>
          <w:rFonts w:ascii="宋体" w:hAnsi="宋体" w:cs="宋体" w:hint="eastAsia"/>
          <w:b w:val="0"/>
          <w:bCs w:val="0"/>
          <w:spacing w:val="-2"/>
          <w:sz w:val="21"/>
          <w:szCs w:val="21"/>
        </w:rPr>
      </w:pPr>
      <w:r>
        <w:rPr>
          <w:rFonts w:ascii="宋体" w:hAnsi="宋体" w:cs="宋体" w:hint="eastAsia"/>
          <w:b w:val="0"/>
          <w:bCs w:val="0"/>
          <w:spacing w:val="-2"/>
          <w:sz w:val="21"/>
          <w:szCs w:val="21"/>
        </w:rPr>
        <w:t xml:space="preserve"> 2.</w:t>
      </w:r>
      <w:r>
        <w:rPr>
          <w:rFonts w:ascii="宋体" w:hAnsi="宋体" w:cs="宋体" w:hint="eastAsia"/>
          <w:spacing w:val="-2"/>
          <w:sz w:val="21"/>
          <w:szCs w:val="21"/>
          <w:u w:val="single"/>
        </w:rPr>
        <w:t>（标的名称）</w:t>
      </w:r>
      <w:r>
        <w:rPr>
          <w:rFonts w:ascii="宋体" w:hAnsi="宋体" w:cs="宋体" w:hint="eastAsia"/>
          <w:b w:val="0"/>
          <w:bCs w:val="0"/>
          <w:spacing w:val="-2"/>
          <w:sz w:val="21"/>
          <w:szCs w:val="21"/>
        </w:rPr>
        <w:t>，属于</w:t>
      </w:r>
      <w:r>
        <w:rPr>
          <w:rFonts w:ascii="宋体" w:hAnsi="宋体" w:cs="宋体" w:hint="eastAsia"/>
          <w:spacing w:val="-2"/>
          <w:sz w:val="21"/>
          <w:szCs w:val="21"/>
          <w:u w:val="single"/>
        </w:rPr>
        <w:t>（采购文件中明确的所属行业）</w:t>
      </w:r>
      <w:r>
        <w:rPr>
          <w:rFonts w:ascii="宋体" w:hAnsi="宋体" w:cs="宋体" w:hint="eastAsia"/>
          <w:b w:val="0"/>
          <w:bCs w:val="0"/>
          <w:spacing w:val="-2"/>
          <w:sz w:val="21"/>
          <w:szCs w:val="21"/>
        </w:rPr>
        <w:t>行业；制造商为</w:t>
      </w:r>
      <w:r>
        <w:rPr>
          <w:rFonts w:ascii="宋体" w:hAnsi="宋体" w:cs="宋体" w:hint="eastAsia"/>
          <w:spacing w:val="-2"/>
          <w:sz w:val="21"/>
          <w:szCs w:val="21"/>
          <w:u w:val="single"/>
        </w:rPr>
        <w:t>（企业名称）</w:t>
      </w:r>
      <w:r>
        <w:rPr>
          <w:rFonts w:ascii="宋体" w:hAnsi="宋体" w:cs="宋体" w:hint="eastAsia"/>
          <w:b w:val="0"/>
          <w:bCs w:val="0"/>
          <w:spacing w:val="-2"/>
          <w:sz w:val="21"/>
          <w:szCs w:val="21"/>
        </w:rPr>
        <w:t>，从业人员</w:t>
      </w:r>
      <w:r>
        <w:rPr>
          <w:rFonts w:ascii="宋体" w:hAnsi="宋体" w:cs="宋体" w:hint="eastAsia"/>
          <w:spacing w:val="-2"/>
          <w:sz w:val="21"/>
          <w:szCs w:val="21"/>
          <w:u w:val="single"/>
        </w:rPr>
        <w:t xml:space="preserve">   </w:t>
      </w:r>
      <w:r>
        <w:rPr>
          <w:rFonts w:ascii="宋体" w:hAnsi="宋体" w:cs="宋体" w:hint="eastAsia"/>
          <w:spacing w:val="-2"/>
          <w:sz w:val="21"/>
          <w:szCs w:val="21"/>
          <w:u w:val="single"/>
        </w:rPr>
        <w:tab/>
      </w:r>
      <w:r>
        <w:rPr>
          <w:rFonts w:ascii="宋体" w:hAnsi="宋体" w:cs="宋体" w:hint="eastAsia"/>
          <w:spacing w:val="-2"/>
          <w:sz w:val="21"/>
          <w:szCs w:val="21"/>
        </w:rPr>
        <w:t>人</w:t>
      </w:r>
      <w:r>
        <w:rPr>
          <w:rFonts w:ascii="宋体" w:hAnsi="宋体" w:cs="宋体" w:hint="eastAsia"/>
          <w:b w:val="0"/>
          <w:bCs w:val="0"/>
          <w:spacing w:val="-2"/>
          <w:sz w:val="21"/>
          <w:szCs w:val="21"/>
        </w:rPr>
        <w:t>，营业收入为</w:t>
      </w:r>
      <w:r>
        <w:rPr>
          <w:rFonts w:ascii="宋体" w:hAnsi="宋体" w:cs="宋体" w:hint="eastAsia"/>
          <w:spacing w:val="-2"/>
          <w:sz w:val="21"/>
          <w:szCs w:val="21"/>
          <w:u w:val="single"/>
        </w:rPr>
        <w:t xml:space="preserve">   </w:t>
      </w:r>
      <w:r>
        <w:rPr>
          <w:rFonts w:ascii="宋体" w:hAnsi="宋体" w:cs="宋体" w:hint="eastAsia"/>
          <w:spacing w:val="-2"/>
          <w:sz w:val="21"/>
          <w:szCs w:val="21"/>
          <w:u w:val="single"/>
        </w:rPr>
        <w:tab/>
      </w:r>
      <w:r>
        <w:rPr>
          <w:rFonts w:ascii="宋体" w:hAnsi="宋体" w:cs="宋体" w:hint="eastAsia"/>
          <w:spacing w:val="-2"/>
          <w:sz w:val="21"/>
          <w:szCs w:val="21"/>
        </w:rPr>
        <w:t>万元</w:t>
      </w:r>
      <w:r>
        <w:rPr>
          <w:rFonts w:ascii="宋体" w:hAnsi="宋体" w:cs="宋体" w:hint="eastAsia"/>
          <w:b w:val="0"/>
          <w:bCs w:val="0"/>
          <w:spacing w:val="-2"/>
          <w:sz w:val="21"/>
          <w:szCs w:val="21"/>
        </w:rPr>
        <w:t>，资产总额为</w:t>
      </w:r>
      <w:r>
        <w:rPr>
          <w:rFonts w:ascii="宋体" w:hAnsi="宋体" w:cs="宋体" w:hint="eastAsia"/>
          <w:spacing w:val="-2"/>
          <w:sz w:val="21"/>
          <w:szCs w:val="21"/>
          <w:u w:val="single"/>
        </w:rPr>
        <w:t xml:space="preserve">     </w:t>
      </w:r>
      <w:r>
        <w:rPr>
          <w:rFonts w:ascii="宋体" w:hAnsi="宋体" w:cs="宋体" w:hint="eastAsia"/>
          <w:spacing w:val="-2"/>
          <w:sz w:val="21"/>
          <w:szCs w:val="21"/>
          <w:u w:val="single"/>
        </w:rPr>
        <w:tab/>
      </w:r>
      <w:r>
        <w:rPr>
          <w:rFonts w:ascii="宋体" w:hAnsi="宋体" w:cs="宋体" w:hint="eastAsia"/>
          <w:spacing w:val="-2"/>
          <w:sz w:val="21"/>
          <w:szCs w:val="21"/>
        </w:rPr>
        <w:t>万元</w:t>
      </w:r>
      <w:r>
        <w:rPr>
          <w:rFonts w:ascii="宋体" w:hAnsi="宋体" w:cs="宋体" w:hint="eastAsia"/>
          <w:b w:val="0"/>
          <w:bCs w:val="0"/>
          <w:spacing w:val="-2"/>
          <w:sz w:val="21"/>
          <w:szCs w:val="21"/>
        </w:rPr>
        <w:t>，属于</w:t>
      </w:r>
      <w:r>
        <w:rPr>
          <w:rFonts w:ascii="宋体" w:hAnsi="宋体" w:cs="宋体" w:hint="eastAsia"/>
          <w:spacing w:val="-2"/>
          <w:sz w:val="21"/>
          <w:szCs w:val="21"/>
          <w:u w:val="single"/>
        </w:rPr>
        <w:t>（中型企业、小型企业、微型企业）</w:t>
      </w:r>
      <w:r>
        <w:rPr>
          <w:rFonts w:ascii="宋体" w:hAnsi="宋体" w:cs="宋体" w:hint="eastAsia"/>
          <w:spacing w:val="-2"/>
          <w:sz w:val="21"/>
          <w:szCs w:val="21"/>
        </w:rPr>
        <w:t>；</w:t>
      </w:r>
    </w:p>
    <w:p>
      <w:pPr>
        <w:pStyle w:val="BodyText"/>
        <w:spacing w:before="55" w:line="302" w:lineRule="auto"/>
        <w:ind w:right="415" w:firstLine="640"/>
        <w:rPr>
          <w:rFonts w:ascii="宋体" w:hAnsi="宋体" w:cs="宋体" w:hint="eastAsia"/>
          <w:b w:val="0"/>
          <w:bCs w:val="0"/>
          <w:spacing w:val="-2"/>
          <w:sz w:val="21"/>
          <w:szCs w:val="21"/>
        </w:rPr>
      </w:pPr>
      <w:r>
        <w:rPr>
          <w:rFonts w:ascii="宋体" w:hAnsi="宋体" w:cs="宋体" w:hint="eastAsia"/>
          <w:b w:val="0"/>
          <w:bCs w:val="0"/>
          <w:spacing w:val="-2"/>
          <w:sz w:val="21"/>
          <w:szCs w:val="21"/>
        </w:rPr>
        <w:t>……</w:t>
      </w:r>
    </w:p>
    <w:p>
      <w:pPr>
        <w:pStyle w:val="BodyText"/>
        <w:spacing w:before="105" w:line="304" w:lineRule="auto"/>
        <w:ind w:right="417" w:firstLine="645"/>
        <w:rPr>
          <w:rFonts w:ascii="宋体" w:hAnsi="宋体" w:cs="宋体" w:hint="eastAsia"/>
          <w:b w:val="0"/>
          <w:bCs w:val="0"/>
          <w:sz w:val="21"/>
          <w:szCs w:val="21"/>
        </w:rPr>
      </w:pPr>
      <w:r>
        <w:rPr>
          <w:rFonts w:ascii="宋体" w:hAnsi="宋体" w:cs="宋体" w:hint="eastAsia"/>
          <w:b w:val="0"/>
          <w:bCs w:val="0"/>
          <w:spacing w:val="-3"/>
          <w:sz w:val="21"/>
          <w:szCs w:val="21"/>
        </w:rPr>
        <w:t>以上企业，不属于大企业的分支机构，不存在控股股东</w:t>
      </w:r>
      <w:r>
        <w:rPr>
          <w:rFonts w:ascii="宋体" w:hAnsi="宋体" w:cs="宋体" w:hint="eastAsia"/>
          <w:b w:val="0"/>
          <w:bCs w:val="0"/>
          <w:spacing w:val="-5"/>
          <w:sz w:val="21"/>
          <w:szCs w:val="21"/>
        </w:rPr>
        <w:t>为大企业的情形，也不存在与大企业的负责人为同一人的情形。</w:t>
      </w:r>
    </w:p>
    <w:p>
      <w:pPr>
        <w:pStyle w:val="BodyText"/>
        <w:spacing w:line="302" w:lineRule="auto"/>
        <w:ind w:right="372" w:firstLine="645"/>
        <w:rPr>
          <w:rFonts w:ascii="宋体" w:hAnsi="宋体" w:cs="宋体" w:hint="eastAsia"/>
          <w:b w:val="0"/>
          <w:bCs w:val="0"/>
          <w:sz w:val="21"/>
          <w:szCs w:val="21"/>
        </w:rPr>
      </w:pPr>
      <w:r>
        <w:rPr>
          <w:rFonts w:ascii="宋体" w:hAnsi="宋体" w:cs="宋体" w:hint="eastAsia"/>
          <w:b w:val="0"/>
          <w:bCs w:val="0"/>
          <w:sz w:val="21"/>
          <w:szCs w:val="21"/>
        </w:rPr>
        <w:t>本企业对上述声明内容的真实性负责。如有虚假，将依法承担相应责任。</w:t>
      </w:r>
    </w:p>
    <w:p>
      <w:pPr>
        <w:spacing w:line="400" w:lineRule="exact"/>
        <w:ind w:firstLine="480" w:firstLineChars="200"/>
        <w:jc w:val="left"/>
        <w:rPr>
          <w:rFonts w:ascii="宋体" w:hAnsi="宋体" w:cs="宋体" w:hint="eastAsia"/>
          <w:szCs w:val="21"/>
        </w:rPr>
      </w:pPr>
      <w:r>
        <w:rPr>
          <w:rFonts w:ascii="宋体" w:hAnsi="宋体" w:cs="宋体" w:hint="eastAsia"/>
          <w:szCs w:val="21"/>
        </w:rPr>
        <w:t>本企业已知悉《政府采购促进中小企业发展管理办法》（财库〔2020〕46 号）、《中小企业划型标准规定》（工信部联企〔2011〕300 号）、《统计上大中小微型企业划分办法（2017）》等 规定，承诺提供的声明函内容是真实的，并知悉根据《政府 采购促进中小企业发展管理办法》（财库〔2020〕46 号）第 二十条规定，供应商按照本办法规定提供声明函内容不实的，属于提供虚假材料谋取中标、成交，依照《政府采购法》 等政府采购有关法律法规规定追究相应责任。</w:t>
      </w:r>
    </w:p>
    <w:p>
      <w:pPr>
        <w:pStyle w:val="BodyText"/>
        <w:spacing w:line="302" w:lineRule="auto"/>
        <w:ind w:right="372" w:firstLine="645"/>
        <w:jc w:val="center"/>
        <w:rPr>
          <w:rFonts w:ascii="宋体" w:hAnsi="宋体" w:cs="宋体" w:hint="eastAsia"/>
          <w:b w:val="0"/>
          <w:bCs w:val="0"/>
          <w:sz w:val="21"/>
          <w:szCs w:val="21"/>
        </w:rPr>
      </w:pPr>
    </w:p>
    <w:p>
      <w:pPr>
        <w:pStyle w:val="BodyText"/>
        <w:spacing w:line="302" w:lineRule="auto"/>
        <w:ind w:right="372" w:firstLine="645"/>
        <w:jc w:val="center"/>
        <w:rPr>
          <w:rFonts w:ascii="宋体" w:hAnsi="宋体" w:cs="宋体" w:hint="eastAsia"/>
          <w:b w:val="0"/>
          <w:bCs w:val="0"/>
          <w:sz w:val="21"/>
          <w:szCs w:val="21"/>
        </w:rPr>
      </w:pPr>
      <w:r>
        <w:rPr>
          <w:rFonts w:ascii="宋体" w:hAnsi="宋体" w:cs="宋体" w:hint="eastAsia"/>
          <w:b w:val="0"/>
          <w:bCs w:val="0"/>
          <w:sz w:val="21"/>
          <w:szCs w:val="21"/>
        </w:rPr>
        <w:t xml:space="preserve">                                    企业名称：</w:t>
      </w:r>
    </w:p>
    <w:p>
      <w:pPr>
        <w:pStyle w:val="BodyText"/>
        <w:spacing w:line="302" w:lineRule="auto"/>
        <w:ind w:right="372" w:firstLine="645"/>
        <w:rPr>
          <w:rFonts w:ascii="宋体" w:hAnsi="宋体" w:cs="宋体" w:hint="eastAsia"/>
          <w:b w:val="0"/>
          <w:bCs w:val="0"/>
          <w:sz w:val="21"/>
          <w:szCs w:val="21"/>
        </w:rPr>
      </w:pPr>
      <w:r>
        <w:rPr>
          <w:rFonts w:ascii="宋体" w:hAnsi="宋体" w:cs="宋体" w:hint="eastAsia"/>
          <w:b w:val="0"/>
          <w:bCs w:val="0"/>
          <w:sz w:val="21"/>
          <w:szCs w:val="21"/>
        </w:rPr>
        <w:t xml:space="preserve">                                                   日期：</w:t>
      </w:r>
    </w:p>
    <w:p>
      <w:pPr>
        <w:rPr>
          <w:rFonts w:ascii="宋体" w:hAnsi="宋体" w:cs="宋体" w:hint="eastAsia"/>
        </w:rPr>
      </w:pPr>
    </w:p>
    <w:p>
      <w:pPr>
        <w:spacing w:before="5"/>
        <w:jc w:val="left"/>
        <w:rPr>
          <w:rFonts w:ascii="宋体" w:hAnsi="宋体" w:cs="宋体" w:hint="eastAsia"/>
          <w:sz w:val="18"/>
        </w:rPr>
      </w:pPr>
      <w:r>
        <w:rPr>
          <w:rFonts w:ascii="宋体" w:hAnsi="宋体" w:cs="宋体" w:hint="eastAsia"/>
          <w:sz w:val="18"/>
        </w:rPr>
        <w:t>从业人员、营业收入、资产总额填报上一年度数据，无上一年度数据的新成立企业可不填报。</w:t>
      </w:r>
    </w:p>
    <w:p>
      <w:pPr>
        <w:pStyle w:val="BodyText"/>
        <w:rPr>
          <w:rFonts w:ascii="宋体" w:hAnsi="宋体" w:cs="宋体" w:hint="eastAsia"/>
        </w:rPr>
      </w:pPr>
    </w:p>
    <w:p>
      <w:pPr>
        <w:rPr>
          <w:rFonts w:ascii="宋体" w:hAnsi="宋体" w:cs="宋体" w:hint="eastAsia"/>
          <w:b/>
          <w:szCs w:val="21"/>
        </w:rPr>
      </w:pPr>
    </w:p>
    <w:p>
      <w:pPr>
        <w:jc w:val="center"/>
        <w:rPr>
          <w:rFonts w:ascii="宋体" w:hAnsi="宋体" w:cs="宋体" w:hint="eastAsia"/>
          <w:b/>
          <w:szCs w:val="21"/>
        </w:rPr>
      </w:pPr>
      <w:r>
        <w:rPr>
          <w:rFonts w:ascii="宋体" w:hAnsi="宋体" w:cs="宋体" w:hint="eastAsia"/>
          <w:b/>
          <w:szCs w:val="21"/>
        </w:rPr>
        <w:t>（二）残疾人福利性单位声明函</w:t>
      </w:r>
    </w:p>
    <w:p>
      <w:pPr>
        <w:jc w:val="center"/>
        <w:rPr>
          <w:rFonts w:ascii="宋体" w:hAnsi="宋体" w:cs="宋体" w:hint="eastAsia"/>
          <w:b/>
          <w:szCs w:val="21"/>
        </w:rPr>
      </w:pPr>
    </w:p>
    <w:p>
      <w:pPr>
        <w:ind w:firstLine="480" w:firstLineChars="200"/>
        <w:rPr>
          <w:rFonts w:ascii="宋体" w:hAnsi="宋体" w:cs="宋体" w:hint="eastAsia"/>
          <w:szCs w:val="21"/>
        </w:rPr>
      </w:pPr>
      <w:r>
        <w:rPr>
          <w:rFonts w:ascii="宋体" w:hAnsi="宋体" w:cs="宋体" w:hint="eastAsia"/>
          <w:szCs w:val="21"/>
        </w:rPr>
        <w:t>本单位郑重声明，根据《财政部民政部中国残疾人联合会关于促进残疾人就业政府采购政策的通知》（财库〔2017〕 141号）的规定，本单位为符合条件的残疾人福利性单位，且本单位参加______单位的______项目采购活动提供本单位制造的货物（由本单位承担工程/提供服务），或者提供其他残疾人福利性单位制造的货物（不包括使用非残疾人福利性单位注册商标的货物）。</w:t>
      </w:r>
    </w:p>
    <w:p>
      <w:pPr>
        <w:ind w:firstLine="480" w:firstLineChars="200"/>
        <w:rPr>
          <w:rFonts w:ascii="宋体" w:hAnsi="宋体" w:cs="宋体" w:hint="eastAsia"/>
          <w:szCs w:val="21"/>
        </w:rPr>
      </w:pPr>
      <w:r>
        <w:rPr>
          <w:rFonts w:ascii="宋体" w:hAnsi="宋体" w:cs="宋体" w:hint="eastAsia"/>
          <w:szCs w:val="21"/>
        </w:rPr>
        <w:t>本单位对上述声明的真实性负责。如有虚假，将依法承担相应责任。</w:t>
      </w:r>
    </w:p>
    <w:p>
      <w:pPr>
        <w:ind w:firstLine="480" w:firstLineChars="200"/>
        <w:rPr>
          <w:rFonts w:ascii="宋体" w:hAnsi="宋体" w:cs="宋体" w:hint="eastAsia"/>
          <w:szCs w:val="21"/>
        </w:rPr>
      </w:pPr>
      <w:r>
        <w:rPr>
          <w:rFonts w:ascii="宋体" w:hAnsi="宋体" w:cs="宋体" w:hint="eastAsia"/>
          <w:szCs w:val="21"/>
        </w:rPr>
        <w:t>本单位知悉《关于促进残疾人就业政府采购政策的通知》（财库〔2017〕141号）的规定，承诺提供的声明函内容是真实 的，如提供声明函内容不实，则依法追究相关法律责任。</w:t>
      </w:r>
    </w:p>
    <w:p>
      <w:pPr>
        <w:ind w:firstLine="480" w:firstLineChars="200"/>
        <w:rPr>
          <w:rFonts w:ascii="宋体" w:hAnsi="宋体" w:cs="宋体" w:hint="eastAsia"/>
          <w:szCs w:val="21"/>
        </w:rPr>
      </w:pPr>
    </w:p>
    <w:p>
      <w:pPr>
        <w:pStyle w:val="NormalIndent"/>
        <w:adjustRightInd w:val="0"/>
        <w:snapToGrid w:val="0"/>
        <w:spacing w:after="120" w:afterLines="50"/>
        <w:ind w:left="420" w:firstLine="0"/>
        <w:jc w:val="center"/>
        <w:rPr>
          <w:rFonts w:ascii="宋体" w:hAnsi="宋体" w:cs="宋体" w:hint="eastAsia"/>
          <w:b/>
          <w:szCs w:val="21"/>
        </w:rPr>
      </w:pPr>
      <w:r>
        <w:rPr>
          <w:rFonts w:ascii="宋体" w:hAnsi="宋体" w:cs="宋体" w:hint="eastAsia"/>
          <w:b/>
          <w:szCs w:val="21"/>
        </w:rPr>
        <w:t>（三）按省级以上监狱管理局、戒毒管理局（含新疆生产建设兵团）出具的属于监狱企业的证明文件（仅限监狱企业，格式自定）</w:t>
      </w:r>
    </w:p>
    <w:p>
      <w:pPr>
        <w:pStyle w:val="BodyText"/>
        <w:rPr>
          <w:rFonts w:ascii="宋体" w:hAnsi="宋体" w:cs="宋体" w:hint="eastAsia"/>
        </w:rPr>
      </w:pPr>
    </w:p>
    <w:p>
      <w:pPr>
        <w:rPr>
          <w:rFonts w:ascii="宋体" w:hAnsi="宋体" w:cs="宋体" w:hint="eastAsia"/>
          <w:b/>
          <w:color w:val="FF0000"/>
          <w:sz w:val="24"/>
        </w:rPr>
      </w:pPr>
    </w:p>
    <w:p>
      <w:pPr>
        <w:jc w:val="center"/>
        <w:rPr>
          <w:rFonts w:ascii="宋体" w:hAnsi="宋体" w:cs="宋体" w:hint="eastAsia"/>
          <w:b/>
          <w:color w:val="FF0000"/>
          <w:sz w:val="24"/>
        </w:rPr>
      </w:pPr>
      <w:r>
        <w:rPr>
          <w:rFonts w:ascii="宋体" w:hAnsi="宋体" w:cs="宋体" w:hint="eastAsia"/>
          <w:b/>
          <w:color w:val="FF0000"/>
          <w:sz w:val="24"/>
        </w:rPr>
        <w:t>（信息公开部分的内容到此为止，往下为信息不公开部分。）</w:t>
      </w:r>
    </w:p>
    <w:p>
      <w:pPr>
        <w:pStyle w:val="BodyText"/>
        <w:rPr>
          <w:rFonts w:ascii="宋体" w:hAnsi="宋体" w:cs="宋体" w:hint="eastAsia"/>
        </w:rPr>
      </w:pPr>
    </w:p>
    <w:p>
      <w:pPr>
        <w:pStyle w:val="BodyText"/>
        <w:rPr>
          <w:rFonts w:ascii="宋体" w:hAnsi="宋体" w:cs="宋体" w:hint="eastAsia"/>
        </w:rPr>
      </w:pPr>
    </w:p>
    <w:p>
      <w:pPr>
        <w:rPr>
          <w:rFonts w:ascii="宋体" w:hAnsi="宋体" w:cs="宋体" w:hint="eastAsia"/>
          <w:b/>
          <w:color w:val="FF0000"/>
          <w:sz w:val="28"/>
          <w:szCs w:val="28"/>
        </w:rPr>
      </w:pPr>
      <w:r>
        <w:rPr>
          <w:rFonts w:ascii="宋体" w:hAnsi="宋体" w:cs="宋体" w:hint="eastAsia"/>
          <w:b/>
          <w:color w:val="FF0000"/>
          <w:sz w:val="28"/>
          <w:szCs w:val="28"/>
        </w:rPr>
        <w:br w:type="page"/>
      </w:r>
    </w:p>
    <w:p>
      <w:pPr>
        <w:jc w:val="center"/>
        <w:outlineLvl w:val="2"/>
        <w:rPr>
          <w:rFonts w:ascii="宋体" w:hAnsi="宋体" w:cs="宋体" w:hint="eastAsia"/>
          <w:b/>
          <w:color w:val="FF0000"/>
          <w:sz w:val="28"/>
          <w:szCs w:val="28"/>
        </w:rPr>
      </w:pPr>
      <w:r>
        <w:rPr>
          <w:rFonts w:ascii="宋体" w:hAnsi="宋体" w:cs="宋体" w:hint="eastAsia"/>
          <w:b/>
          <w:color w:val="FF0000"/>
          <w:sz w:val="28"/>
          <w:szCs w:val="28"/>
        </w:rPr>
        <w:t>投标文件附件（信息不公开部分）</w:t>
      </w:r>
    </w:p>
    <w:p>
      <w:pPr>
        <w:pStyle w:val="Heading4"/>
        <w:jc w:val="center"/>
        <w:rPr>
          <w:rFonts w:ascii="宋体" w:eastAsia="宋体" w:hAnsi="宋体" w:cs="宋体" w:hint="eastAsia"/>
          <w:sz w:val="21"/>
          <w:szCs w:val="16"/>
        </w:rPr>
      </w:pPr>
      <w:r>
        <w:rPr>
          <w:rFonts w:ascii="宋体" w:eastAsia="宋体" w:hAnsi="宋体" w:cs="宋体" w:hint="eastAsia"/>
          <w:sz w:val="21"/>
          <w:szCs w:val="16"/>
        </w:rPr>
        <w:t>一、法定代表人资格证明书</w:t>
      </w:r>
    </w:p>
    <w:p>
      <w:pPr>
        <w:rPr>
          <w:rFonts w:ascii="宋体" w:hAnsi="宋体" w:cs="宋体" w:hint="eastAsia"/>
          <w:sz w:val="24"/>
        </w:rPr>
      </w:pPr>
    </w:p>
    <w:p>
      <w:pPr>
        <w:spacing w:line="360" w:lineRule="auto"/>
        <w:rPr>
          <w:rFonts w:ascii="宋体" w:hAnsi="宋体" w:cs="宋体" w:hint="eastAsia"/>
          <w:szCs w:val="21"/>
        </w:rPr>
      </w:pPr>
      <w:r>
        <w:rPr>
          <w:rFonts w:ascii="宋体" w:hAnsi="宋体" w:cs="宋体" w:hint="eastAsia"/>
          <w:szCs w:val="21"/>
        </w:rPr>
        <w:t>同志，现任我单位职务，为法定代表人，特此证明。</w:t>
      </w:r>
    </w:p>
    <w:p>
      <w:pPr>
        <w:spacing w:line="360" w:lineRule="auto"/>
        <w:rPr>
          <w:rFonts w:ascii="宋体" w:hAnsi="宋体" w:cs="宋体" w:hint="eastAsia"/>
          <w:szCs w:val="21"/>
        </w:rPr>
      </w:pPr>
      <w:r>
        <w:rPr>
          <w:rFonts w:ascii="宋体" w:hAnsi="宋体" w:cs="宋体" w:hint="eastAsia"/>
          <w:szCs w:val="21"/>
        </w:rPr>
        <w:t>说明：1、法定代表人为企业事业单位、国家机关、社会团体的主要负责人。</w:t>
      </w:r>
    </w:p>
    <w:p>
      <w:pPr>
        <w:rPr>
          <w:rFonts w:ascii="宋体" w:hAnsi="宋体" w:cs="宋体" w:hint="eastAsia"/>
          <w:szCs w:val="21"/>
        </w:rPr>
      </w:pPr>
      <w:r>
        <w:rPr>
          <w:rFonts w:ascii="宋体" w:hAnsi="宋体" w:cs="宋体" w:hint="eastAsia"/>
          <w:szCs w:val="21"/>
        </w:rPr>
        <w:t xml:space="preserve">      2、内容必须填写真实、清楚，涂改无效，不得转让、买卖。</w:t>
      </w:r>
    </w:p>
    <w:p>
      <w:pPr>
        <w:spacing w:line="360" w:lineRule="auto"/>
        <w:rPr>
          <w:rFonts w:ascii="宋体" w:hAnsi="宋体" w:cs="宋体" w:hint="eastAsia"/>
          <w:b/>
          <w:szCs w:val="21"/>
        </w:rPr>
      </w:pPr>
    </w:p>
    <w:p>
      <w:pPr>
        <w:spacing w:line="360" w:lineRule="auto"/>
        <w:rPr>
          <w:rFonts w:ascii="宋体" w:hAnsi="宋体" w:cs="宋体" w:hint="eastAsia"/>
          <w:b/>
          <w:sz w:val="24"/>
        </w:rPr>
      </w:pPr>
      <w:r>
        <w:rPr>
          <w:rFonts w:ascii="宋体" w:hAnsi="宋体" w:cs="宋体" w:hint="eastAsia"/>
          <w:b/>
          <w:sz w:val="24"/>
        </w:rPr>
        <w:t>附：要求必须提供法定代表人身份证扫描件（正反两面）。</w:t>
      </w:r>
    </w:p>
    <w:p>
      <w:pPr>
        <w:keepNext/>
        <w:keepLines/>
        <w:spacing w:line="360" w:lineRule="auto"/>
        <w:rPr>
          <w:rFonts w:ascii="宋体" w:hAnsi="宋体" w:cs="宋体" w:hint="eastAsia"/>
          <w:b/>
          <w:sz w:val="28"/>
        </w:rPr>
      </w:pPr>
    </w:p>
    <w:p>
      <w:pPr>
        <w:keepNext/>
        <w:keepLines/>
        <w:spacing w:line="360" w:lineRule="auto"/>
        <w:rPr>
          <w:rFonts w:ascii="宋体" w:hAnsi="宋体" w:cs="宋体" w:hint="eastAsia"/>
          <w:b/>
          <w:sz w:val="28"/>
        </w:rPr>
      </w:pPr>
    </w:p>
    <w:p>
      <w:pPr>
        <w:keepNext/>
        <w:keepLines/>
        <w:spacing w:line="360" w:lineRule="auto"/>
        <w:rPr>
          <w:rFonts w:ascii="宋体" w:hAnsi="宋体" w:cs="宋体" w:hint="eastAsia"/>
          <w:b/>
          <w:sz w:val="28"/>
        </w:rPr>
      </w:pPr>
    </w:p>
    <w:p>
      <w:pPr>
        <w:keepNext/>
        <w:keepLines/>
        <w:spacing w:line="360" w:lineRule="auto"/>
        <w:rPr>
          <w:rFonts w:ascii="宋体" w:hAnsi="宋体" w:cs="宋体" w:hint="eastAsia"/>
          <w:b/>
          <w:sz w:val="28"/>
        </w:rPr>
      </w:pPr>
      <w:r>
        <w:rPr>
          <w:rFonts w:ascii="宋体" w:hAnsi="宋体" w:cs="宋体" w:hint="eastAsia"/>
          <w:color w:val="000000"/>
          <w:szCs w:val="21"/>
        </w:rPr>
        <w:pict>
          <v:group id="组合 10" o:spid="_x0000_s1027" style="height:125.45pt;margin-left:0;margin-top:12pt;position:absolute;width:445pt;z-index:251659264" coordorigin="0,0" coordsize="8900,2509">
            <o:lock v:ext="edit" aspectratio="f"/>
            <v:rect id="矩形 3" o:spid="_x0000_s1028" style="height:2509;mso-wrap-style:square;position:absolute;width:4218">
              <v:stroke linestyle="single"/>
              <o:lock v:ext="edit" aspectratio="f"/>
              <v:textbox>
                <w:txbxContent>
                  <w:p>
                    <w:pPr>
                      <w:jc w:val="center"/>
                    </w:pPr>
                    <w:r>
                      <w:rPr>
                        <w:rFonts w:hint="eastAsia"/>
                      </w:rPr>
                      <w:t>居民身份证复印件</w:t>
                    </w:r>
                  </w:p>
                  <w:p>
                    <w:pPr>
                      <w:ind w:firstLine="1200" w:firstLineChars="500"/>
                    </w:pPr>
                  </w:p>
                  <w:p>
                    <w:pPr>
                      <w:jc w:val="center"/>
                    </w:pPr>
                    <w:r>
                      <w:rPr>
                        <w:rFonts w:hint="eastAsia"/>
                      </w:rPr>
                      <w:t>（人像面）</w:t>
                    </w:r>
                  </w:p>
                  <w:p/>
                </w:txbxContent>
              </v:textbox>
            </v:rect>
            <v:rect id="矩形 4" o:spid="_x0000_s1029" style="height:2509;left:4681;mso-wrap-style:square;position:absolute;width:4219">
              <v:stroke linestyle="single"/>
              <o:lock v:ext="edit" aspectratio="f"/>
              <v:textbox>
                <w:txbxContent>
                  <w:p>
                    <w:pPr>
                      <w:jc w:val="center"/>
                    </w:pPr>
                    <w:r>
                      <w:rPr>
                        <w:rFonts w:hint="eastAsia"/>
                      </w:rPr>
                      <w:t>居民身份证复印件</w:t>
                    </w:r>
                  </w:p>
                  <w:p>
                    <w:pPr>
                      <w:ind w:firstLine="1200" w:firstLineChars="500"/>
                    </w:pPr>
                  </w:p>
                  <w:p>
                    <w:pPr>
                      <w:jc w:val="center"/>
                    </w:pPr>
                    <w:r>
                      <w:rPr>
                        <w:rFonts w:hint="eastAsia"/>
                      </w:rPr>
                      <w:t>（国徽面）</w:t>
                    </w:r>
                  </w:p>
                  <w:p/>
                </w:txbxContent>
              </v:textbox>
            </v:rect>
          </v:group>
        </w:pict>
      </w:r>
      <w:r>
        <w:rPr>
          <w:rFonts w:ascii="宋体" w:hAnsi="宋体" w:cs="宋体" w:hint="eastAsia"/>
          <w:b/>
          <w:sz w:val="28"/>
        </w:rPr>
        <w:br w:type="page"/>
      </w:r>
    </w:p>
    <w:p>
      <w:pPr>
        <w:pStyle w:val="Heading4"/>
        <w:jc w:val="center"/>
        <w:rPr>
          <w:rFonts w:ascii="宋体" w:eastAsia="宋体" w:hAnsi="宋体" w:cs="宋体" w:hint="eastAsia"/>
          <w:sz w:val="21"/>
          <w:szCs w:val="21"/>
        </w:rPr>
      </w:pPr>
      <w:r>
        <w:rPr>
          <w:rFonts w:ascii="宋体" w:eastAsia="宋体" w:hAnsi="宋体" w:cs="宋体" w:hint="eastAsia"/>
          <w:sz w:val="21"/>
          <w:szCs w:val="21"/>
        </w:rPr>
        <w:t>二、投标文件签署授权委托书</w:t>
      </w:r>
    </w:p>
    <w:p>
      <w:pPr>
        <w:spacing w:line="360" w:lineRule="auto"/>
        <w:ind w:firstLine="480" w:firstLineChars="200"/>
        <w:rPr>
          <w:rFonts w:ascii="宋体" w:hAnsi="宋体" w:cs="宋体" w:hint="eastAsia"/>
          <w:szCs w:val="21"/>
        </w:rPr>
      </w:pPr>
      <w:r>
        <w:rPr>
          <w:rFonts w:ascii="宋体" w:hAnsi="宋体" w:cs="宋体" w:hint="eastAsia"/>
          <w:szCs w:val="21"/>
        </w:rPr>
        <w:t>本授权委托书声明：我（法定代表人姓名）系（投标人名称）的法定代表人，现授权委托（被授权人姓名）为我方签署本项目已递交的投标文件的法定代表人的授权委托代理人，代理人全权代表我所签署本项目已递交的投标文件内容我均承认。</w:t>
      </w:r>
    </w:p>
    <w:p>
      <w:pPr>
        <w:pStyle w:val="NormalIndent"/>
        <w:spacing w:line="360" w:lineRule="auto"/>
        <w:rPr>
          <w:rFonts w:ascii="宋体" w:hAnsi="宋体" w:cs="宋体" w:hint="eastAsia"/>
          <w:szCs w:val="21"/>
        </w:rPr>
      </w:pPr>
      <w:r>
        <w:rPr>
          <w:rFonts w:ascii="宋体" w:hAnsi="宋体" w:cs="宋体" w:hint="eastAsia"/>
          <w:szCs w:val="21"/>
        </w:rPr>
        <w:t>代理人无转委托权，特此委托。本授权书有效期与本项目我方投标有效期一致。</w:t>
      </w:r>
    </w:p>
    <w:p>
      <w:pPr>
        <w:spacing w:line="360" w:lineRule="auto"/>
        <w:ind w:left="617" w:leftChars="257"/>
        <w:rPr>
          <w:rFonts w:ascii="宋体" w:hAnsi="宋体" w:cs="宋体" w:hint="eastAsia"/>
          <w:szCs w:val="21"/>
          <w:u w:val="single"/>
        </w:rPr>
      </w:pPr>
      <w:r>
        <w:rPr>
          <w:rFonts w:ascii="宋体" w:hAnsi="宋体" w:cs="宋体" w:hint="eastAsia"/>
          <w:szCs w:val="21"/>
        </w:rPr>
        <w:t>代理人：</w:t>
      </w:r>
    </w:p>
    <w:p>
      <w:pPr>
        <w:spacing w:line="360" w:lineRule="auto"/>
        <w:ind w:left="617" w:leftChars="257"/>
        <w:rPr>
          <w:rFonts w:ascii="宋体" w:hAnsi="宋体" w:cs="宋体" w:hint="eastAsia"/>
          <w:szCs w:val="21"/>
        </w:rPr>
      </w:pPr>
      <w:r>
        <w:rPr>
          <w:rFonts w:ascii="宋体" w:hAnsi="宋体" w:cs="宋体" w:hint="eastAsia"/>
          <w:szCs w:val="21"/>
        </w:rPr>
        <w:t>联系电话：                          手机：</w:t>
      </w:r>
    </w:p>
    <w:p>
      <w:pPr>
        <w:spacing w:line="360" w:lineRule="auto"/>
        <w:ind w:left="617" w:leftChars="257"/>
        <w:rPr>
          <w:rFonts w:ascii="宋体" w:hAnsi="宋体" w:cs="宋体" w:hint="eastAsia"/>
          <w:szCs w:val="21"/>
          <w:u w:val="single"/>
        </w:rPr>
      </w:pPr>
      <w:r>
        <w:rPr>
          <w:rFonts w:ascii="宋体" w:hAnsi="宋体" w:cs="宋体" w:hint="eastAsia"/>
          <w:szCs w:val="21"/>
        </w:rPr>
        <w:t>身份证号码：                         职务：</w:t>
      </w:r>
    </w:p>
    <w:p>
      <w:pPr>
        <w:spacing w:line="360" w:lineRule="auto"/>
        <w:ind w:left="617" w:leftChars="257"/>
        <w:rPr>
          <w:rFonts w:ascii="宋体" w:hAnsi="宋体" w:cs="宋体" w:hint="eastAsia"/>
          <w:szCs w:val="21"/>
        </w:rPr>
      </w:pPr>
      <w:r>
        <w:rPr>
          <w:rFonts w:ascii="宋体" w:hAnsi="宋体" w:cs="宋体" w:hint="eastAsia"/>
          <w:szCs w:val="21"/>
        </w:rPr>
        <w:t>授权委托日期：      年    月      日</w:t>
      </w:r>
    </w:p>
    <w:p>
      <w:pPr>
        <w:spacing w:line="360" w:lineRule="auto"/>
        <w:ind w:left="617" w:leftChars="257"/>
        <w:rPr>
          <w:rFonts w:ascii="宋体" w:hAnsi="宋体" w:cs="宋体" w:hint="eastAsia"/>
          <w:szCs w:val="21"/>
          <w:u w:val="single"/>
        </w:rPr>
      </w:pPr>
      <w:r>
        <w:rPr>
          <w:rFonts w:ascii="宋体" w:hAnsi="宋体" w:cs="宋体" w:hint="eastAsia"/>
          <w:b/>
          <w:sz w:val="24"/>
        </w:rPr>
        <w:t>附：要求必须提供代理人身份证扫描件（正反两面）。</w:t>
      </w:r>
    </w:p>
    <w:p>
      <w:pPr>
        <w:keepNext/>
        <w:keepLines/>
        <w:spacing w:line="360" w:lineRule="auto"/>
        <w:rPr>
          <w:rFonts w:ascii="宋体" w:hAnsi="宋体" w:cs="宋体" w:hint="eastAsia"/>
          <w:b/>
          <w:sz w:val="28"/>
        </w:rPr>
      </w:pPr>
      <w:r>
        <w:rPr>
          <w:rFonts w:ascii="宋体" w:hAnsi="宋体" w:cs="宋体" w:hint="eastAsia"/>
          <w:color w:val="000000"/>
          <w:szCs w:val="21"/>
        </w:rPr>
        <w:pict>
          <v:group id="组合 12" o:spid="_x0000_s1030" style="height:125.45pt;margin-left:0;margin-top:12pt;position:absolute;width:445pt;z-index:251658240" coordorigin="0,0" coordsize="8900,2509">
            <o:lock v:ext="edit" aspectratio="f"/>
            <v:rect id="矩形 3" o:spid="_x0000_s1031" style="height:2509;mso-wrap-style:square;position:absolute;width:4218">
              <v:stroke linestyle="single"/>
              <o:lock v:ext="edit" aspectratio="f"/>
              <v:textbox>
                <w:txbxContent>
                  <w:p>
                    <w:pPr>
                      <w:jc w:val="center"/>
                    </w:pPr>
                    <w:r>
                      <w:rPr>
                        <w:rFonts w:hint="eastAsia"/>
                      </w:rPr>
                      <w:t>居民身份证复印件</w:t>
                    </w:r>
                  </w:p>
                  <w:p>
                    <w:pPr>
                      <w:ind w:firstLine="1200" w:firstLineChars="500"/>
                    </w:pPr>
                  </w:p>
                  <w:p>
                    <w:pPr>
                      <w:jc w:val="center"/>
                    </w:pPr>
                    <w:r>
                      <w:rPr>
                        <w:rFonts w:hint="eastAsia"/>
                      </w:rPr>
                      <w:t>（人像面）</w:t>
                    </w:r>
                  </w:p>
                  <w:p/>
                </w:txbxContent>
              </v:textbox>
            </v:rect>
            <v:rect id="矩形 4" o:spid="_x0000_s1032" style="height:2509;left:4681;mso-wrap-style:square;position:absolute;width:4219">
              <v:stroke linestyle="single"/>
              <o:lock v:ext="edit" aspectratio="f"/>
              <v:textbox>
                <w:txbxContent>
                  <w:p>
                    <w:pPr>
                      <w:jc w:val="center"/>
                    </w:pPr>
                    <w:r>
                      <w:rPr>
                        <w:rFonts w:hint="eastAsia"/>
                      </w:rPr>
                      <w:t>居民身份证复印件</w:t>
                    </w:r>
                  </w:p>
                  <w:p>
                    <w:pPr>
                      <w:ind w:firstLine="1200" w:firstLineChars="500"/>
                    </w:pPr>
                  </w:p>
                  <w:p>
                    <w:pPr>
                      <w:jc w:val="center"/>
                    </w:pPr>
                    <w:r>
                      <w:rPr>
                        <w:rFonts w:hint="eastAsia"/>
                      </w:rPr>
                      <w:t>（国徽面）</w:t>
                    </w:r>
                  </w:p>
                  <w:p/>
                </w:txbxContent>
              </v:textbox>
            </v:rect>
          </v:group>
        </w:pict>
      </w:r>
      <w:r>
        <w:rPr>
          <w:rFonts w:ascii="宋体" w:hAnsi="宋体" w:cs="宋体" w:hint="eastAsia"/>
          <w:b/>
          <w:sz w:val="28"/>
        </w:rPr>
        <w:br w:type="page"/>
      </w:r>
    </w:p>
    <w:p>
      <w:pPr>
        <w:pStyle w:val="Heading4"/>
        <w:jc w:val="center"/>
        <w:rPr>
          <w:rFonts w:ascii="宋体" w:eastAsia="宋体" w:hAnsi="宋体" w:cs="宋体" w:hint="eastAsia"/>
          <w:sz w:val="21"/>
          <w:szCs w:val="16"/>
        </w:rPr>
      </w:pPr>
      <w:r>
        <w:rPr>
          <w:rFonts w:ascii="宋体" w:eastAsia="宋体" w:hAnsi="宋体" w:cs="宋体" w:hint="eastAsia"/>
          <w:sz w:val="21"/>
          <w:szCs w:val="21"/>
        </w:rPr>
        <w:t>三、</w:t>
      </w:r>
      <w:r>
        <w:rPr>
          <w:rFonts w:ascii="宋体" w:eastAsia="宋体" w:hAnsi="宋体" w:cs="宋体" w:hint="eastAsia"/>
          <w:sz w:val="21"/>
          <w:szCs w:val="16"/>
        </w:rPr>
        <w:t>投标人情况介绍</w:t>
      </w:r>
    </w:p>
    <w:p>
      <w:pPr>
        <w:ind w:left="632" w:hanging="720" w:hangingChars="300"/>
        <w:rPr>
          <w:rFonts w:hint="eastAsia"/>
          <w:b/>
          <w:bCs/>
        </w:rPr>
      </w:pPr>
      <w:r>
        <w:rPr>
          <w:rFonts w:hint="eastAsia"/>
          <w:b/>
          <w:bCs/>
        </w:rPr>
        <w:t>1. 投标人情况介绍：</w:t>
      </w:r>
    </w:p>
    <w:p/>
    <w:p>
      <w:pPr>
        <w:jc w:val="center"/>
        <w:rPr>
          <w:rFonts w:ascii="宋体" w:hAnsi="宋体" w:cs="宋体"/>
          <w:b/>
          <w:bCs/>
          <w:szCs w:val="21"/>
        </w:rPr>
      </w:pPr>
      <w:r>
        <w:rPr>
          <w:rFonts w:ascii="宋体" w:hAnsi="宋体" w:cs="宋体" w:hint="eastAsia"/>
          <w:b/>
          <w:bCs/>
          <w:szCs w:val="21"/>
        </w:rPr>
        <w:t>投标人基本情况一览表</w:t>
      </w:r>
    </w:p>
    <w:p>
      <w:pPr>
        <w:pStyle w:val="PlainText"/>
        <w:spacing w:line="300" w:lineRule="auto"/>
        <w:ind w:firstLine="420"/>
        <w:rPr>
          <w:rFonts w:hAnsi="宋体" w:cs="宋体"/>
          <w:szCs w:val="21"/>
        </w:rPr>
      </w:pPr>
      <w:r>
        <w:rPr>
          <w:rFonts w:hAnsi="宋体" w:cs="宋体" w:hint="eastAsia"/>
          <w:szCs w:val="21"/>
        </w:rPr>
        <w:t>1．名称及概况：</w:t>
      </w:r>
    </w:p>
    <w:p>
      <w:pPr>
        <w:pStyle w:val="PlainText"/>
        <w:spacing w:line="300" w:lineRule="auto"/>
        <w:ind w:firstLine="420"/>
        <w:rPr>
          <w:rFonts w:hAnsi="宋体" w:cs="宋体"/>
          <w:szCs w:val="21"/>
        </w:rPr>
      </w:pPr>
      <w:r>
        <w:rPr>
          <w:rFonts w:hAnsi="宋体" w:cs="宋体" w:hint="eastAsia"/>
          <w:szCs w:val="21"/>
        </w:rPr>
        <w:t>（1）投标人名称：________________________________________</w:t>
      </w:r>
    </w:p>
    <w:p>
      <w:pPr>
        <w:pStyle w:val="PlainText"/>
        <w:spacing w:line="300" w:lineRule="auto"/>
        <w:ind w:firstLine="420"/>
        <w:rPr>
          <w:rFonts w:hAnsi="宋体" w:cs="宋体"/>
          <w:szCs w:val="21"/>
        </w:rPr>
      </w:pPr>
      <w:r>
        <w:rPr>
          <w:rFonts w:hAnsi="宋体" w:cs="宋体" w:hint="eastAsia"/>
          <w:szCs w:val="21"/>
        </w:rPr>
        <w:t>（2）注册地址：__________________________________________</w:t>
      </w:r>
    </w:p>
    <w:p>
      <w:pPr>
        <w:pStyle w:val="PlainText"/>
        <w:spacing w:line="300" w:lineRule="auto"/>
        <w:ind w:firstLine="660" w:firstLineChars="275"/>
        <w:rPr>
          <w:rFonts w:hAnsi="宋体" w:cs="宋体"/>
          <w:szCs w:val="21"/>
        </w:rPr>
      </w:pPr>
      <w:r>
        <w:rPr>
          <w:rFonts w:hAnsi="宋体" w:cs="宋体" w:hint="eastAsia"/>
          <w:szCs w:val="21"/>
        </w:rPr>
        <w:t xml:space="preserve">   邮政编码：___________________________________________</w:t>
      </w:r>
    </w:p>
    <w:p>
      <w:pPr>
        <w:pStyle w:val="PlainText"/>
        <w:spacing w:line="300" w:lineRule="auto"/>
        <w:ind w:firstLine="420"/>
        <w:rPr>
          <w:rFonts w:hAnsi="宋体" w:cs="宋体"/>
          <w:szCs w:val="21"/>
        </w:rPr>
      </w:pPr>
      <w:r>
        <w:rPr>
          <w:rFonts w:hAnsi="宋体" w:cs="宋体" w:hint="eastAsia"/>
          <w:szCs w:val="21"/>
        </w:rPr>
        <w:t xml:space="preserve">     电话号码：___________________________________________ </w:t>
      </w:r>
    </w:p>
    <w:p>
      <w:pPr>
        <w:pStyle w:val="PlainText"/>
        <w:spacing w:line="300" w:lineRule="auto"/>
        <w:ind w:firstLine="420"/>
        <w:rPr>
          <w:rFonts w:hAnsi="宋体" w:cs="宋体"/>
          <w:szCs w:val="21"/>
        </w:rPr>
      </w:pPr>
      <w:r>
        <w:rPr>
          <w:rFonts w:hAnsi="宋体" w:cs="宋体" w:hint="eastAsia"/>
          <w:szCs w:val="21"/>
        </w:rPr>
        <w:t xml:space="preserve">     传真号码：___________________________________________ </w:t>
      </w:r>
    </w:p>
    <w:p>
      <w:pPr>
        <w:pStyle w:val="PlainText"/>
        <w:spacing w:line="300" w:lineRule="auto"/>
        <w:ind w:firstLine="420"/>
        <w:rPr>
          <w:rFonts w:hAnsi="宋体" w:cs="宋体"/>
          <w:szCs w:val="21"/>
        </w:rPr>
      </w:pPr>
      <w:r>
        <w:rPr>
          <w:rFonts w:hAnsi="宋体" w:cs="宋体" w:hint="eastAsia"/>
          <w:szCs w:val="21"/>
        </w:rPr>
        <w:t>（3）成立或注册日期：____________________________________</w:t>
      </w:r>
    </w:p>
    <w:p>
      <w:pPr>
        <w:pStyle w:val="PlainText"/>
        <w:spacing w:line="300" w:lineRule="auto"/>
        <w:ind w:firstLine="420"/>
        <w:rPr>
          <w:rFonts w:hAnsi="宋体" w:cs="宋体"/>
          <w:szCs w:val="21"/>
        </w:rPr>
      </w:pPr>
      <w:r>
        <w:rPr>
          <w:rFonts w:hAnsi="宋体" w:cs="宋体" w:hint="eastAsia"/>
          <w:szCs w:val="21"/>
        </w:rPr>
        <w:t>（4）法定代表人：___________________________________________</w:t>
      </w:r>
    </w:p>
    <w:p>
      <w:pPr>
        <w:pStyle w:val="PlainText"/>
        <w:spacing w:line="300" w:lineRule="auto"/>
        <w:ind w:firstLine="420"/>
        <w:rPr>
          <w:rFonts w:hAnsi="宋体" w:cs="宋体"/>
          <w:szCs w:val="21"/>
        </w:rPr>
      </w:pPr>
      <w:r>
        <w:rPr>
          <w:rFonts w:hAnsi="宋体" w:cs="宋体" w:hint="eastAsia"/>
          <w:szCs w:val="21"/>
        </w:rPr>
        <w:t>（5）基本存款账户开户银行：___________________________________________</w:t>
      </w:r>
    </w:p>
    <w:p>
      <w:pPr>
        <w:pStyle w:val="PlainText"/>
        <w:spacing w:line="300" w:lineRule="auto"/>
        <w:ind w:firstLine="420"/>
        <w:rPr>
          <w:rFonts w:hAnsi="宋体" w:cs="宋体"/>
          <w:szCs w:val="21"/>
        </w:rPr>
      </w:pPr>
      <w:r>
        <w:rPr>
          <w:rFonts w:hAnsi="宋体" w:cs="宋体" w:hint="eastAsia"/>
          <w:szCs w:val="21"/>
        </w:rPr>
        <w:t>（6）基本存款账户开户账号：___________________________________________</w:t>
      </w:r>
    </w:p>
    <w:p>
      <w:pPr>
        <w:pStyle w:val="PlainText"/>
        <w:spacing w:line="300" w:lineRule="auto"/>
        <w:ind w:firstLine="420"/>
        <w:rPr>
          <w:rFonts w:hAnsi="宋体" w:cs="宋体"/>
          <w:szCs w:val="21"/>
        </w:rPr>
      </w:pPr>
      <w:r>
        <w:rPr>
          <w:rFonts w:hAnsi="宋体" w:cs="宋体" w:hint="eastAsia"/>
          <w:szCs w:val="21"/>
        </w:rPr>
        <w:t>（7）注册资金：___________________________________________</w:t>
      </w:r>
    </w:p>
    <w:p>
      <w:pPr>
        <w:pStyle w:val="PlainText"/>
        <w:spacing w:line="300" w:lineRule="auto"/>
        <w:ind w:firstLine="420"/>
        <w:rPr>
          <w:rFonts w:hAnsi="宋体" w:cs="宋体"/>
          <w:szCs w:val="21"/>
        </w:rPr>
      </w:pPr>
      <w:r>
        <w:rPr>
          <w:rFonts w:hAnsi="宋体" w:cs="宋体" w:hint="eastAsia"/>
          <w:szCs w:val="21"/>
        </w:rPr>
        <w:t>（8）注册经营范围：_______________________________________</w:t>
      </w:r>
    </w:p>
    <w:p>
      <w:pPr>
        <w:pStyle w:val="PlainText"/>
        <w:spacing w:line="300" w:lineRule="auto"/>
        <w:ind w:firstLine="420"/>
        <w:rPr>
          <w:rFonts w:hAnsi="宋体" w:cs="宋体"/>
          <w:szCs w:val="21"/>
        </w:rPr>
      </w:pPr>
      <w:r>
        <w:rPr>
          <w:rFonts w:hAnsi="宋体" w:cs="宋体" w:hint="eastAsia"/>
          <w:szCs w:val="21"/>
        </w:rPr>
        <w:t>（9）近两年财务基本情况（成立年限不足的，提供最近一期财务报表信息）</w:t>
      </w:r>
    </w:p>
    <w:p>
      <w:pPr>
        <w:pStyle w:val="PlainText"/>
        <w:spacing w:line="300" w:lineRule="auto"/>
        <w:ind w:firstLine="420"/>
        <w:rPr>
          <w:rFonts w:hAnsi="宋体" w:cs="宋体"/>
          <w:szCs w:val="21"/>
        </w:rPr>
      </w:pPr>
      <w:r>
        <w:rPr>
          <w:rFonts w:hAnsi="宋体" w:cs="宋体" w:hint="eastAsia"/>
          <w:szCs w:val="21"/>
        </w:rPr>
        <w:t xml:space="preserve">    ①货币资金期末数：_____________________________________</w:t>
      </w:r>
    </w:p>
    <w:p>
      <w:pPr>
        <w:pStyle w:val="PlainText"/>
        <w:spacing w:line="300" w:lineRule="auto"/>
        <w:ind w:firstLine="420"/>
        <w:rPr>
          <w:rFonts w:hAnsi="宋体" w:cs="宋体"/>
          <w:szCs w:val="21"/>
        </w:rPr>
      </w:pPr>
      <w:r>
        <w:rPr>
          <w:rFonts w:hAnsi="宋体" w:cs="宋体" w:hint="eastAsia"/>
          <w:szCs w:val="21"/>
        </w:rPr>
        <w:t xml:space="preserve">    ②年营业总额（值）：___________________________________</w:t>
      </w:r>
    </w:p>
    <w:p>
      <w:pPr>
        <w:pStyle w:val="PlainText"/>
        <w:spacing w:line="300" w:lineRule="auto"/>
        <w:ind w:firstLine="420"/>
        <w:rPr>
          <w:rFonts w:hAnsi="宋体" w:cs="宋体"/>
          <w:szCs w:val="21"/>
        </w:rPr>
      </w:pPr>
      <w:r>
        <w:rPr>
          <w:rFonts w:hAnsi="宋体" w:cs="宋体" w:hint="eastAsia"/>
          <w:szCs w:val="21"/>
        </w:rPr>
        <w:t xml:space="preserve">    ③资产负债率：_________________________________________</w:t>
      </w:r>
    </w:p>
    <w:p>
      <w:pPr>
        <w:pStyle w:val="PlainText"/>
        <w:spacing w:line="300" w:lineRule="auto"/>
        <w:ind w:firstLine="420"/>
        <w:rPr>
          <w:rFonts w:hAnsi="宋体" w:cs="宋体"/>
          <w:szCs w:val="21"/>
        </w:rPr>
      </w:pPr>
      <w:r>
        <w:rPr>
          <w:rFonts w:hAnsi="宋体" w:cs="宋体" w:hint="eastAsia"/>
          <w:szCs w:val="21"/>
        </w:rPr>
        <w:t xml:space="preserve">    ④销售利润率：_________________________________________</w:t>
      </w:r>
    </w:p>
    <w:p>
      <w:pPr>
        <w:pStyle w:val="PlainText"/>
        <w:spacing w:line="300" w:lineRule="auto"/>
        <w:ind w:firstLine="420"/>
        <w:rPr>
          <w:rFonts w:hAnsi="宋体" w:cs="宋体"/>
          <w:szCs w:val="21"/>
        </w:rPr>
      </w:pPr>
      <w:r>
        <w:rPr>
          <w:rFonts w:hAnsi="宋体" w:cs="宋体" w:hint="eastAsia"/>
          <w:szCs w:val="21"/>
        </w:rPr>
        <w:t xml:space="preserve">    ⑤资本收益率：_________________________________________</w:t>
      </w:r>
    </w:p>
    <w:p>
      <w:pPr>
        <w:pStyle w:val="PlainText"/>
        <w:spacing w:line="300" w:lineRule="auto"/>
        <w:ind w:firstLine="420"/>
        <w:rPr>
          <w:rFonts w:hAnsi="宋体" w:cs="宋体"/>
          <w:szCs w:val="21"/>
        </w:rPr>
      </w:pPr>
      <w:r>
        <w:rPr>
          <w:rFonts w:hAnsi="宋体" w:cs="宋体" w:hint="eastAsia"/>
          <w:szCs w:val="21"/>
        </w:rPr>
        <w:t>（以上内容应与财务报表信息一致，如不一致以财务报表为准）</w:t>
      </w:r>
    </w:p>
    <w:p>
      <w:pPr>
        <w:pStyle w:val="PlainText"/>
        <w:spacing w:line="300" w:lineRule="auto"/>
        <w:ind w:firstLine="420"/>
        <w:rPr>
          <w:rFonts w:hAnsi="宋体" w:cs="宋体"/>
          <w:szCs w:val="21"/>
        </w:rPr>
      </w:pPr>
      <w:r>
        <w:rPr>
          <w:rFonts w:hAnsi="宋体" w:cs="宋体" w:hint="eastAsia"/>
          <w:szCs w:val="21"/>
        </w:rPr>
        <w:t>（10）项目负责人及主要联系人（姓名、职务、通讯方式）：</w:t>
      </w:r>
    </w:p>
    <w:p>
      <w:pPr>
        <w:pStyle w:val="PlainText"/>
        <w:spacing w:line="300" w:lineRule="auto"/>
        <w:rPr>
          <w:rFonts w:hAnsi="宋体" w:cs="宋体"/>
          <w:szCs w:val="21"/>
        </w:rPr>
      </w:pPr>
      <w:r>
        <w:rPr>
          <w:rFonts w:hAnsi="宋体" w:cs="宋体" w:hint="eastAsia"/>
          <w:szCs w:val="21"/>
        </w:rPr>
        <w:t>_____________________________________________________________________</w:t>
      </w:r>
    </w:p>
    <w:p>
      <w:pPr>
        <w:adjustRightInd w:val="0"/>
        <w:ind w:firstLine="480" w:firstLineChars="200"/>
        <w:rPr>
          <w:rFonts w:ascii="宋体" w:hAnsi="宋体" w:cs="宋体"/>
          <w:b/>
          <w:bCs/>
          <w:sz w:val="22"/>
          <w:szCs w:val="22"/>
        </w:rPr>
      </w:pPr>
      <w:r>
        <w:rPr>
          <w:rFonts w:ascii="宋体" w:hAnsi="宋体" w:cs="宋体" w:hint="eastAsia"/>
          <w:b/>
          <w:bCs/>
          <w:sz w:val="22"/>
          <w:szCs w:val="22"/>
        </w:rPr>
        <w:t>（11）主要股东或出资人信息（必须填写）</w:t>
      </w:r>
    </w:p>
    <w:tbl>
      <w:tblPr>
        <w:tblStyle w:val="TableNormal"/>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108" w:type="dxa"/>
          <w:bottom w:w="0" w:type="dxa"/>
          <w:right w:w="108" w:type="dxa"/>
        </w:tblCellMar>
        <w:tblLook w:val="0000"/>
      </w:tblPr>
      <w:tblGrid>
        <w:gridCol w:w="718"/>
        <w:gridCol w:w="1141"/>
        <w:gridCol w:w="2075"/>
        <w:gridCol w:w="1245"/>
        <w:gridCol w:w="1324"/>
        <w:gridCol w:w="1166"/>
        <w:gridCol w:w="848"/>
      </w:tblGrid>
      <w:tr>
        <w:tblPrEx>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108" w:type="dxa"/>
            <w:bottom w:w="0" w:type="dxa"/>
            <w:right w:w="108" w:type="dxa"/>
          </w:tblCellMar>
          <w:tblLook w:val="0000"/>
        </w:tblPrEx>
        <w:trPr>
          <w:trHeight w:val="783"/>
        </w:trPr>
        <w:tc>
          <w:tcPr>
            <w:tcW w:w="718" w:type="dxa"/>
            <w:vAlign w:val="center"/>
          </w:tcPr>
          <w:p>
            <w:pPr>
              <w:jc w:val="center"/>
              <w:rPr>
                <w:rFonts w:ascii="宋体" w:hAnsi="宋体" w:cs="宋体"/>
                <w:b/>
                <w:szCs w:val="21"/>
              </w:rPr>
            </w:pPr>
            <w:r>
              <w:rPr>
                <w:rFonts w:ascii="宋体" w:hAnsi="宋体" w:cs="宋体" w:hint="eastAsia"/>
                <w:b/>
                <w:szCs w:val="21"/>
              </w:rPr>
              <w:t>序号</w:t>
            </w:r>
          </w:p>
        </w:tc>
        <w:tc>
          <w:tcPr>
            <w:tcW w:w="1141" w:type="dxa"/>
            <w:vAlign w:val="center"/>
          </w:tcPr>
          <w:p>
            <w:pPr>
              <w:jc w:val="center"/>
              <w:rPr>
                <w:rFonts w:ascii="宋体" w:hAnsi="宋体" w:cs="宋体"/>
                <w:b/>
                <w:szCs w:val="21"/>
              </w:rPr>
            </w:pPr>
            <w:r>
              <w:rPr>
                <w:rFonts w:ascii="宋体" w:hAnsi="宋体" w:cs="宋体" w:hint="eastAsia"/>
                <w:b/>
                <w:szCs w:val="21"/>
              </w:rPr>
              <w:t>名称</w:t>
            </w:r>
          </w:p>
          <w:p>
            <w:pPr>
              <w:jc w:val="center"/>
              <w:rPr>
                <w:rFonts w:ascii="宋体" w:hAnsi="宋体" w:cs="宋体"/>
                <w:b/>
                <w:szCs w:val="21"/>
              </w:rPr>
            </w:pPr>
            <w:r>
              <w:rPr>
                <w:rFonts w:ascii="宋体" w:hAnsi="宋体" w:cs="宋体" w:hint="eastAsia"/>
                <w:b/>
                <w:szCs w:val="21"/>
              </w:rPr>
              <w:t>（姓名）</w:t>
            </w:r>
          </w:p>
        </w:tc>
        <w:tc>
          <w:tcPr>
            <w:tcW w:w="2075" w:type="dxa"/>
            <w:vAlign w:val="center"/>
          </w:tcPr>
          <w:p>
            <w:pPr>
              <w:jc w:val="center"/>
              <w:rPr>
                <w:rFonts w:ascii="宋体" w:hAnsi="宋体" w:cs="宋体"/>
                <w:b/>
                <w:szCs w:val="21"/>
              </w:rPr>
            </w:pPr>
            <w:r>
              <w:rPr>
                <w:rFonts w:ascii="宋体" w:hAnsi="宋体" w:cs="宋体" w:hint="eastAsia"/>
                <w:b/>
                <w:szCs w:val="21"/>
              </w:rPr>
              <w:t>统一社会信用代码</w:t>
            </w:r>
          </w:p>
          <w:p>
            <w:pPr>
              <w:jc w:val="center"/>
              <w:rPr>
                <w:rFonts w:ascii="宋体" w:hAnsi="宋体" w:cs="宋体"/>
                <w:b/>
                <w:szCs w:val="21"/>
              </w:rPr>
            </w:pPr>
            <w:r>
              <w:rPr>
                <w:rFonts w:ascii="宋体" w:hAnsi="宋体" w:cs="宋体" w:hint="eastAsia"/>
                <w:b/>
                <w:szCs w:val="21"/>
              </w:rPr>
              <w:t>（身份证号）</w:t>
            </w:r>
          </w:p>
        </w:tc>
        <w:tc>
          <w:tcPr>
            <w:tcW w:w="1245" w:type="dxa"/>
            <w:vAlign w:val="center"/>
          </w:tcPr>
          <w:p>
            <w:pPr>
              <w:jc w:val="center"/>
              <w:rPr>
                <w:rFonts w:ascii="宋体" w:hAnsi="宋体" w:cs="宋体"/>
                <w:b/>
                <w:szCs w:val="21"/>
              </w:rPr>
            </w:pPr>
            <w:r>
              <w:rPr>
                <w:rFonts w:ascii="宋体" w:hAnsi="宋体" w:cs="宋体" w:hint="eastAsia"/>
                <w:b/>
                <w:szCs w:val="21"/>
              </w:rPr>
              <w:t>出资方式</w:t>
            </w:r>
          </w:p>
        </w:tc>
        <w:tc>
          <w:tcPr>
            <w:tcW w:w="1324" w:type="dxa"/>
            <w:vAlign w:val="center"/>
          </w:tcPr>
          <w:p>
            <w:pPr>
              <w:jc w:val="center"/>
              <w:rPr>
                <w:rFonts w:ascii="宋体" w:hAnsi="宋体" w:cs="宋体"/>
                <w:b/>
                <w:szCs w:val="21"/>
              </w:rPr>
            </w:pPr>
            <w:r>
              <w:rPr>
                <w:rFonts w:ascii="宋体" w:hAnsi="宋体" w:cs="宋体" w:hint="eastAsia"/>
                <w:b/>
                <w:szCs w:val="21"/>
              </w:rPr>
              <w:t>出资金额</w:t>
            </w:r>
          </w:p>
          <w:p>
            <w:pPr>
              <w:jc w:val="center"/>
              <w:rPr>
                <w:rFonts w:ascii="宋体" w:hAnsi="宋体" w:cs="宋体"/>
                <w:b/>
                <w:szCs w:val="21"/>
              </w:rPr>
            </w:pPr>
            <w:r>
              <w:rPr>
                <w:rFonts w:ascii="宋体" w:hAnsi="宋体" w:cs="宋体" w:hint="eastAsia"/>
                <w:b/>
                <w:szCs w:val="21"/>
              </w:rPr>
              <w:t>（万元）</w:t>
            </w:r>
          </w:p>
        </w:tc>
        <w:tc>
          <w:tcPr>
            <w:tcW w:w="1166" w:type="dxa"/>
            <w:vAlign w:val="center"/>
          </w:tcPr>
          <w:p>
            <w:pPr>
              <w:jc w:val="center"/>
              <w:rPr>
                <w:rFonts w:ascii="宋体" w:hAnsi="宋体" w:cs="宋体"/>
                <w:b/>
                <w:szCs w:val="21"/>
              </w:rPr>
            </w:pPr>
            <w:r>
              <w:rPr>
                <w:rFonts w:ascii="宋体" w:hAnsi="宋体" w:cs="宋体" w:hint="eastAsia"/>
                <w:b/>
                <w:szCs w:val="21"/>
              </w:rPr>
              <w:t>占全部股份比例</w:t>
            </w:r>
          </w:p>
        </w:tc>
        <w:tc>
          <w:tcPr>
            <w:tcW w:w="848" w:type="dxa"/>
            <w:vAlign w:val="center"/>
          </w:tcPr>
          <w:p>
            <w:pPr>
              <w:jc w:val="center"/>
              <w:rPr>
                <w:rFonts w:ascii="宋体" w:hAnsi="宋体" w:cs="宋体"/>
                <w:b/>
                <w:szCs w:val="21"/>
              </w:rPr>
            </w:pPr>
            <w:r>
              <w:rPr>
                <w:rFonts w:ascii="宋体" w:hAnsi="宋体" w:cs="宋体" w:hint="eastAsia"/>
                <w:b/>
                <w:szCs w:val="21"/>
              </w:rPr>
              <w:t>备注</w:t>
            </w:r>
          </w:p>
        </w:tc>
      </w:tr>
      <w:tr>
        <w:tblPrEx>
          <w:tblW w:w="0" w:type="auto"/>
          <w:tblLayout w:type="fixed"/>
          <w:tblCellMar>
            <w:top w:w="0" w:type="dxa"/>
            <w:left w:w="108" w:type="dxa"/>
            <w:bottom w:w="0" w:type="dxa"/>
            <w:right w:w="108" w:type="dxa"/>
          </w:tblCellMar>
          <w:tblLook w:val="0000"/>
        </w:tblPrEx>
        <w:trPr>
          <w:trHeight w:val="440"/>
        </w:trPr>
        <w:tc>
          <w:tcPr>
            <w:tcW w:w="718" w:type="dxa"/>
            <w:vAlign w:val="center"/>
          </w:tcPr>
          <w:p>
            <w:pPr>
              <w:jc w:val="center"/>
              <w:rPr>
                <w:rFonts w:ascii="宋体" w:hAnsi="宋体" w:cs="宋体"/>
                <w:b/>
                <w:szCs w:val="21"/>
              </w:rPr>
            </w:pPr>
          </w:p>
        </w:tc>
        <w:tc>
          <w:tcPr>
            <w:tcW w:w="1141" w:type="dxa"/>
            <w:vAlign w:val="center"/>
          </w:tcPr>
          <w:p>
            <w:pPr>
              <w:jc w:val="center"/>
              <w:rPr>
                <w:rFonts w:ascii="宋体" w:hAnsi="宋体" w:cs="宋体"/>
                <w:b/>
                <w:szCs w:val="21"/>
              </w:rPr>
            </w:pPr>
          </w:p>
        </w:tc>
        <w:tc>
          <w:tcPr>
            <w:tcW w:w="2075" w:type="dxa"/>
            <w:vAlign w:val="center"/>
          </w:tcPr>
          <w:p>
            <w:pPr>
              <w:jc w:val="center"/>
              <w:rPr>
                <w:rFonts w:ascii="宋体" w:hAnsi="宋体" w:cs="宋体"/>
                <w:b/>
                <w:szCs w:val="21"/>
              </w:rPr>
            </w:pPr>
          </w:p>
        </w:tc>
        <w:tc>
          <w:tcPr>
            <w:tcW w:w="1245" w:type="dxa"/>
            <w:vAlign w:val="center"/>
          </w:tcPr>
          <w:p>
            <w:pPr>
              <w:jc w:val="center"/>
              <w:rPr>
                <w:rFonts w:ascii="宋体" w:hAnsi="宋体" w:cs="宋体"/>
                <w:b/>
                <w:szCs w:val="21"/>
              </w:rPr>
            </w:pPr>
          </w:p>
        </w:tc>
        <w:tc>
          <w:tcPr>
            <w:tcW w:w="1324" w:type="dxa"/>
            <w:vAlign w:val="center"/>
          </w:tcPr>
          <w:p>
            <w:pPr>
              <w:jc w:val="center"/>
              <w:rPr>
                <w:rFonts w:ascii="宋体" w:hAnsi="宋体" w:cs="宋体"/>
                <w:b/>
                <w:szCs w:val="21"/>
              </w:rPr>
            </w:pPr>
          </w:p>
        </w:tc>
        <w:tc>
          <w:tcPr>
            <w:tcW w:w="1166" w:type="dxa"/>
            <w:vAlign w:val="center"/>
          </w:tcPr>
          <w:p>
            <w:pPr>
              <w:jc w:val="center"/>
              <w:rPr>
                <w:rFonts w:ascii="宋体" w:hAnsi="宋体" w:cs="宋体"/>
                <w:b/>
                <w:szCs w:val="21"/>
              </w:rPr>
            </w:pPr>
          </w:p>
        </w:tc>
        <w:tc>
          <w:tcPr>
            <w:tcW w:w="848" w:type="dxa"/>
            <w:vAlign w:val="center"/>
          </w:tcPr>
          <w:p>
            <w:pPr>
              <w:jc w:val="center"/>
              <w:rPr>
                <w:rFonts w:ascii="宋体" w:hAnsi="宋体" w:cs="宋体"/>
                <w:b/>
                <w:szCs w:val="21"/>
              </w:rPr>
            </w:pPr>
          </w:p>
        </w:tc>
      </w:tr>
      <w:tr>
        <w:tblPrEx>
          <w:tblW w:w="0" w:type="auto"/>
          <w:tblLayout w:type="fixed"/>
          <w:tblCellMar>
            <w:top w:w="0" w:type="dxa"/>
            <w:left w:w="108" w:type="dxa"/>
            <w:bottom w:w="0" w:type="dxa"/>
            <w:right w:w="108" w:type="dxa"/>
          </w:tblCellMar>
          <w:tblLook w:val="0000"/>
        </w:tblPrEx>
        <w:trPr>
          <w:trHeight w:val="440"/>
        </w:trPr>
        <w:tc>
          <w:tcPr>
            <w:tcW w:w="718" w:type="dxa"/>
            <w:vAlign w:val="center"/>
          </w:tcPr>
          <w:p>
            <w:pPr>
              <w:jc w:val="center"/>
              <w:rPr>
                <w:rFonts w:ascii="宋体" w:hAnsi="宋体" w:cs="宋体"/>
                <w:b/>
                <w:szCs w:val="21"/>
              </w:rPr>
            </w:pPr>
          </w:p>
        </w:tc>
        <w:tc>
          <w:tcPr>
            <w:tcW w:w="1141" w:type="dxa"/>
            <w:vAlign w:val="center"/>
          </w:tcPr>
          <w:p>
            <w:pPr>
              <w:jc w:val="center"/>
              <w:rPr>
                <w:rFonts w:ascii="宋体" w:hAnsi="宋体" w:cs="宋体"/>
                <w:b/>
                <w:szCs w:val="21"/>
              </w:rPr>
            </w:pPr>
          </w:p>
        </w:tc>
        <w:tc>
          <w:tcPr>
            <w:tcW w:w="2075" w:type="dxa"/>
            <w:vAlign w:val="center"/>
          </w:tcPr>
          <w:p>
            <w:pPr>
              <w:jc w:val="center"/>
              <w:rPr>
                <w:rFonts w:ascii="宋体" w:hAnsi="宋体" w:cs="宋体"/>
                <w:b/>
                <w:szCs w:val="21"/>
              </w:rPr>
            </w:pPr>
          </w:p>
        </w:tc>
        <w:tc>
          <w:tcPr>
            <w:tcW w:w="1245" w:type="dxa"/>
            <w:vAlign w:val="center"/>
          </w:tcPr>
          <w:p>
            <w:pPr>
              <w:jc w:val="center"/>
              <w:rPr>
                <w:rFonts w:ascii="宋体" w:hAnsi="宋体" w:cs="宋体"/>
                <w:b/>
                <w:szCs w:val="21"/>
              </w:rPr>
            </w:pPr>
          </w:p>
        </w:tc>
        <w:tc>
          <w:tcPr>
            <w:tcW w:w="1324" w:type="dxa"/>
            <w:vAlign w:val="center"/>
          </w:tcPr>
          <w:p>
            <w:pPr>
              <w:jc w:val="center"/>
              <w:rPr>
                <w:rFonts w:ascii="宋体" w:hAnsi="宋体" w:cs="宋体"/>
                <w:b/>
                <w:szCs w:val="21"/>
              </w:rPr>
            </w:pPr>
          </w:p>
        </w:tc>
        <w:tc>
          <w:tcPr>
            <w:tcW w:w="1166" w:type="dxa"/>
            <w:vAlign w:val="center"/>
          </w:tcPr>
          <w:p>
            <w:pPr>
              <w:jc w:val="center"/>
              <w:rPr>
                <w:rFonts w:ascii="宋体" w:hAnsi="宋体" w:cs="宋体"/>
                <w:b/>
                <w:szCs w:val="21"/>
              </w:rPr>
            </w:pPr>
          </w:p>
        </w:tc>
        <w:tc>
          <w:tcPr>
            <w:tcW w:w="848" w:type="dxa"/>
            <w:vAlign w:val="center"/>
          </w:tcPr>
          <w:p>
            <w:pPr>
              <w:jc w:val="center"/>
              <w:rPr>
                <w:rFonts w:ascii="宋体" w:hAnsi="宋体" w:cs="宋体"/>
                <w:b/>
                <w:szCs w:val="21"/>
              </w:rPr>
            </w:pPr>
          </w:p>
        </w:tc>
      </w:tr>
      <w:tr>
        <w:tblPrEx>
          <w:tblW w:w="0" w:type="auto"/>
          <w:tblLayout w:type="fixed"/>
          <w:tblCellMar>
            <w:top w:w="0" w:type="dxa"/>
            <w:left w:w="108" w:type="dxa"/>
            <w:bottom w:w="0" w:type="dxa"/>
            <w:right w:w="108" w:type="dxa"/>
          </w:tblCellMar>
          <w:tblLook w:val="0000"/>
        </w:tblPrEx>
        <w:trPr>
          <w:trHeight w:val="440"/>
        </w:trPr>
        <w:tc>
          <w:tcPr>
            <w:tcW w:w="718" w:type="dxa"/>
            <w:vAlign w:val="center"/>
          </w:tcPr>
          <w:p>
            <w:pPr>
              <w:jc w:val="center"/>
              <w:rPr>
                <w:rFonts w:ascii="宋体" w:hAnsi="宋体" w:cs="宋体"/>
                <w:b/>
                <w:szCs w:val="21"/>
              </w:rPr>
            </w:pPr>
          </w:p>
        </w:tc>
        <w:tc>
          <w:tcPr>
            <w:tcW w:w="1141" w:type="dxa"/>
            <w:vAlign w:val="center"/>
          </w:tcPr>
          <w:p>
            <w:pPr>
              <w:jc w:val="center"/>
              <w:rPr>
                <w:rFonts w:ascii="宋体" w:hAnsi="宋体" w:cs="宋体"/>
                <w:b/>
                <w:szCs w:val="21"/>
              </w:rPr>
            </w:pPr>
          </w:p>
        </w:tc>
        <w:tc>
          <w:tcPr>
            <w:tcW w:w="2075" w:type="dxa"/>
            <w:vAlign w:val="center"/>
          </w:tcPr>
          <w:p>
            <w:pPr>
              <w:jc w:val="center"/>
              <w:rPr>
                <w:rFonts w:ascii="宋体" w:hAnsi="宋体" w:cs="宋体"/>
                <w:b/>
                <w:szCs w:val="21"/>
              </w:rPr>
            </w:pPr>
          </w:p>
        </w:tc>
        <w:tc>
          <w:tcPr>
            <w:tcW w:w="1245" w:type="dxa"/>
            <w:vAlign w:val="center"/>
          </w:tcPr>
          <w:p>
            <w:pPr>
              <w:jc w:val="center"/>
              <w:rPr>
                <w:rFonts w:ascii="宋体" w:hAnsi="宋体" w:cs="宋体"/>
                <w:b/>
                <w:szCs w:val="21"/>
              </w:rPr>
            </w:pPr>
          </w:p>
        </w:tc>
        <w:tc>
          <w:tcPr>
            <w:tcW w:w="1324" w:type="dxa"/>
            <w:vAlign w:val="center"/>
          </w:tcPr>
          <w:p>
            <w:pPr>
              <w:jc w:val="center"/>
              <w:rPr>
                <w:rFonts w:ascii="宋体" w:hAnsi="宋体" w:cs="宋体"/>
                <w:b/>
                <w:szCs w:val="21"/>
              </w:rPr>
            </w:pPr>
          </w:p>
        </w:tc>
        <w:tc>
          <w:tcPr>
            <w:tcW w:w="1166" w:type="dxa"/>
            <w:vAlign w:val="center"/>
          </w:tcPr>
          <w:p>
            <w:pPr>
              <w:jc w:val="center"/>
              <w:rPr>
                <w:rFonts w:ascii="宋体" w:hAnsi="宋体" w:cs="宋体"/>
                <w:b/>
                <w:szCs w:val="21"/>
              </w:rPr>
            </w:pPr>
          </w:p>
        </w:tc>
        <w:tc>
          <w:tcPr>
            <w:tcW w:w="848" w:type="dxa"/>
            <w:vAlign w:val="center"/>
          </w:tcPr>
          <w:p>
            <w:pPr>
              <w:jc w:val="center"/>
              <w:rPr>
                <w:rFonts w:ascii="宋体" w:hAnsi="宋体" w:cs="宋体"/>
                <w:b/>
                <w:szCs w:val="21"/>
              </w:rPr>
            </w:pPr>
          </w:p>
        </w:tc>
      </w:tr>
      <w:tr>
        <w:tblPrEx>
          <w:tblW w:w="0" w:type="auto"/>
          <w:tblLayout w:type="fixed"/>
          <w:tblCellMar>
            <w:top w:w="0" w:type="dxa"/>
            <w:left w:w="108" w:type="dxa"/>
            <w:bottom w:w="0" w:type="dxa"/>
            <w:right w:w="108" w:type="dxa"/>
          </w:tblCellMar>
          <w:tblLook w:val="0000"/>
        </w:tblPrEx>
        <w:trPr>
          <w:trHeight w:val="440"/>
        </w:trPr>
        <w:tc>
          <w:tcPr>
            <w:tcW w:w="718" w:type="dxa"/>
            <w:vAlign w:val="center"/>
          </w:tcPr>
          <w:p>
            <w:pPr>
              <w:jc w:val="center"/>
              <w:rPr>
                <w:rFonts w:ascii="宋体" w:hAnsi="宋体" w:cs="宋体"/>
                <w:b/>
                <w:szCs w:val="21"/>
              </w:rPr>
            </w:pPr>
          </w:p>
        </w:tc>
        <w:tc>
          <w:tcPr>
            <w:tcW w:w="1141" w:type="dxa"/>
            <w:vAlign w:val="center"/>
          </w:tcPr>
          <w:p>
            <w:pPr>
              <w:jc w:val="center"/>
              <w:rPr>
                <w:rFonts w:ascii="宋体" w:hAnsi="宋体" w:cs="宋体"/>
                <w:b/>
                <w:szCs w:val="21"/>
              </w:rPr>
            </w:pPr>
          </w:p>
        </w:tc>
        <w:tc>
          <w:tcPr>
            <w:tcW w:w="2075" w:type="dxa"/>
            <w:vAlign w:val="center"/>
          </w:tcPr>
          <w:p>
            <w:pPr>
              <w:jc w:val="center"/>
              <w:rPr>
                <w:rFonts w:ascii="宋体" w:hAnsi="宋体" w:cs="宋体"/>
                <w:b/>
                <w:szCs w:val="21"/>
              </w:rPr>
            </w:pPr>
          </w:p>
        </w:tc>
        <w:tc>
          <w:tcPr>
            <w:tcW w:w="1245" w:type="dxa"/>
            <w:vAlign w:val="center"/>
          </w:tcPr>
          <w:p>
            <w:pPr>
              <w:jc w:val="center"/>
              <w:rPr>
                <w:rFonts w:ascii="宋体" w:hAnsi="宋体" w:cs="宋体"/>
                <w:b/>
                <w:szCs w:val="21"/>
              </w:rPr>
            </w:pPr>
          </w:p>
        </w:tc>
        <w:tc>
          <w:tcPr>
            <w:tcW w:w="1324" w:type="dxa"/>
            <w:vAlign w:val="center"/>
          </w:tcPr>
          <w:p>
            <w:pPr>
              <w:jc w:val="center"/>
              <w:rPr>
                <w:rFonts w:ascii="宋体" w:hAnsi="宋体" w:cs="宋体"/>
                <w:b/>
                <w:szCs w:val="21"/>
              </w:rPr>
            </w:pPr>
          </w:p>
        </w:tc>
        <w:tc>
          <w:tcPr>
            <w:tcW w:w="1166" w:type="dxa"/>
            <w:vAlign w:val="center"/>
          </w:tcPr>
          <w:p>
            <w:pPr>
              <w:jc w:val="center"/>
              <w:rPr>
                <w:rFonts w:ascii="宋体" w:hAnsi="宋体" w:cs="宋体"/>
                <w:b/>
                <w:szCs w:val="21"/>
              </w:rPr>
            </w:pPr>
          </w:p>
        </w:tc>
        <w:tc>
          <w:tcPr>
            <w:tcW w:w="848" w:type="dxa"/>
            <w:vAlign w:val="center"/>
          </w:tcPr>
          <w:p>
            <w:pPr>
              <w:jc w:val="center"/>
              <w:rPr>
                <w:rFonts w:ascii="宋体" w:hAnsi="宋体" w:cs="宋体"/>
                <w:b/>
                <w:szCs w:val="21"/>
              </w:rPr>
            </w:pPr>
          </w:p>
        </w:tc>
      </w:tr>
      <w:tr>
        <w:tblPrEx>
          <w:tblW w:w="0" w:type="auto"/>
          <w:tblLayout w:type="fixed"/>
          <w:tblCellMar>
            <w:top w:w="0" w:type="dxa"/>
            <w:left w:w="108" w:type="dxa"/>
            <w:bottom w:w="0" w:type="dxa"/>
            <w:right w:w="108" w:type="dxa"/>
          </w:tblCellMar>
          <w:tblLook w:val="0000"/>
        </w:tblPrEx>
        <w:trPr>
          <w:trHeight w:val="448"/>
        </w:trPr>
        <w:tc>
          <w:tcPr>
            <w:tcW w:w="718" w:type="dxa"/>
            <w:vAlign w:val="center"/>
          </w:tcPr>
          <w:p>
            <w:pPr>
              <w:jc w:val="center"/>
              <w:rPr>
                <w:rFonts w:ascii="宋体" w:hAnsi="宋体" w:cs="宋体"/>
                <w:b/>
                <w:szCs w:val="21"/>
              </w:rPr>
            </w:pPr>
          </w:p>
        </w:tc>
        <w:tc>
          <w:tcPr>
            <w:tcW w:w="1141" w:type="dxa"/>
            <w:vAlign w:val="center"/>
          </w:tcPr>
          <w:p>
            <w:pPr>
              <w:jc w:val="center"/>
              <w:rPr>
                <w:rFonts w:ascii="宋体" w:hAnsi="宋体" w:cs="宋体"/>
                <w:b/>
                <w:szCs w:val="21"/>
              </w:rPr>
            </w:pPr>
          </w:p>
        </w:tc>
        <w:tc>
          <w:tcPr>
            <w:tcW w:w="2075" w:type="dxa"/>
            <w:vAlign w:val="center"/>
          </w:tcPr>
          <w:p>
            <w:pPr>
              <w:jc w:val="center"/>
              <w:rPr>
                <w:rFonts w:ascii="宋体" w:hAnsi="宋体" w:cs="宋体"/>
                <w:b/>
                <w:szCs w:val="21"/>
              </w:rPr>
            </w:pPr>
          </w:p>
        </w:tc>
        <w:tc>
          <w:tcPr>
            <w:tcW w:w="1245" w:type="dxa"/>
            <w:vAlign w:val="center"/>
          </w:tcPr>
          <w:p>
            <w:pPr>
              <w:jc w:val="center"/>
              <w:rPr>
                <w:rFonts w:ascii="宋体" w:hAnsi="宋体" w:cs="宋体"/>
                <w:b/>
                <w:szCs w:val="21"/>
              </w:rPr>
            </w:pPr>
          </w:p>
        </w:tc>
        <w:tc>
          <w:tcPr>
            <w:tcW w:w="1324" w:type="dxa"/>
            <w:vAlign w:val="center"/>
          </w:tcPr>
          <w:p>
            <w:pPr>
              <w:jc w:val="center"/>
              <w:rPr>
                <w:rFonts w:ascii="宋体" w:hAnsi="宋体" w:cs="宋体"/>
                <w:b/>
                <w:szCs w:val="21"/>
              </w:rPr>
            </w:pPr>
          </w:p>
        </w:tc>
        <w:tc>
          <w:tcPr>
            <w:tcW w:w="1166" w:type="dxa"/>
            <w:vAlign w:val="center"/>
          </w:tcPr>
          <w:p>
            <w:pPr>
              <w:jc w:val="center"/>
              <w:rPr>
                <w:rFonts w:ascii="宋体" w:hAnsi="宋体" w:cs="宋体"/>
                <w:b/>
                <w:szCs w:val="21"/>
              </w:rPr>
            </w:pPr>
          </w:p>
        </w:tc>
        <w:tc>
          <w:tcPr>
            <w:tcW w:w="848" w:type="dxa"/>
            <w:vAlign w:val="center"/>
          </w:tcPr>
          <w:p>
            <w:pPr>
              <w:jc w:val="center"/>
              <w:rPr>
                <w:rFonts w:ascii="宋体" w:hAnsi="宋体" w:cs="宋体"/>
                <w:b/>
                <w:szCs w:val="21"/>
              </w:rPr>
            </w:pPr>
          </w:p>
        </w:tc>
      </w:tr>
    </w:tbl>
    <w:p>
      <w:pPr>
        <w:spacing w:line="360" w:lineRule="auto"/>
        <w:ind w:firstLine="480" w:firstLineChars="200"/>
        <w:rPr>
          <w:rFonts w:ascii="宋体" w:hAnsi="宋体" w:cs="宋体"/>
          <w:szCs w:val="21"/>
        </w:rPr>
      </w:pPr>
      <w:r>
        <w:rPr>
          <w:rFonts w:ascii="宋体" w:hAnsi="宋体" w:cs="宋体" w:hint="eastAsia"/>
          <w:szCs w:val="21"/>
        </w:rPr>
        <w:t>我方承诺，以上信息真实可靠；如填报的股东出资额、出资比例等与实际不符，视为放弃中标资格。</w:t>
      </w:r>
    </w:p>
    <w:p>
      <w:pPr>
        <w:spacing w:line="360" w:lineRule="auto"/>
        <w:ind w:firstLine="480" w:firstLineChars="200"/>
        <w:rPr>
          <w:rFonts w:ascii="宋体" w:hAnsi="宋体" w:cs="宋体"/>
          <w:szCs w:val="21"/>
        </w:rPr>
      </w:pPr>
      <w:r>
        <w:rPr>
          <w:rFonts w:ascii="宋体" w:hAnsi="宋体" w:cs="宋体" w:hint="eastAsia"/>
          <w:szCs w:val="21"/>
        </w:rPr>
        <w:t>注：1）主要股东或出资人为法人的，填写法人全称及统一社会信用代码；为自然人的，填写自然人姓名和身份证号。</w:t>
      </w:r>
    </w:p>
    <w:p>
      <w:pPr>
        <w:spacing w:line="360" w:lineRule="auto"/>
        <w:ind w:firstLine="480" w:firstLineChars="200"/>
        <w:rPr>
          <w:rFonts w:ascii="宋体" w:hAnsi="宋体" w:cs="宋体"/>
          <w:szCs w:val="21"/>
        </w:rPr>
      </w:pPr>
      <w:r>
        <w:rPr>
          <w:rFonts w:ascii="宋体" w:hAnsi="宋体" w:cs="宋体" w:hint="eastAsia"/>
          <w:szCs w:val="21"/>
        </w:rPr>
        <w:t>2）出资方式填写货币、实物、工艺产权和非专利技术、土地使用权等。</w:t>
      </w:r>
    </w:p>
    <w:p>
      <w:pPr>
        <w:spacing w:line="360" w:lineRule="auto"/>
        <w:ind w:firstLine="480" w:firstLineChars="200"/>
        <w:rPr>
          <w:rFonts w:ascii="宋体" w:hAnsi="宋体" w:cs="宋体"/>
          <w:szCs w:val="21"/>
        </w:rPr>
      </w:pPr>
      <w:r>
        <w:rPr>
          <w:rFonts w:ascii="宋体" w:hAnsi="宋体" w:cs="宋体" w:hint="eastAsia"/>
          <w:szCs w:val="21"/>
        </w:rPr>
        <w:t>3）投标人应按照占全部股份比例从大到小依次逐个股东填写，股东数量多于10个的，填写前10名，不足10个的全部填写。</w:t>
      </w:r>
    </w:p>
    <w:p>
      <w:pPr>
        <w:pStyle w:val="PlainText"/>
        <w:spacing w:line="300" w:lineRule="auto"/>
        <w:ind w:firstLine="420"/>
        <w:rPr>
          <w:rFonts w:hAnsi="宋体" w:cs="宋体"/>
          <w:szCs w:val="21"/>
        </w:rPr>
      </w:pPr>
    </w:p>
    <w:p>
      <w:pPr>
        <w:pStyle w:val="PlainText"/>
        <w:spacing w:line="300" w:lineRule="auto"/>
        <w:ind w:firstLine="420"/>
        <w:rPr>
          <w:rFonts w:hAnsi="宋体" w:cs="宋体"/>
          <w:szCs w:val="21"/>
        </w:rPr>
      </w:pPr>
      <w:r>
        <w:rPr>
          <w:rFonts w:hAnsi="宋体" w:cs="宋体" w:hint="eastAsia"/>
          <w:szCs w:val="21"/>
        </w:rPr>
        <w:t>2.提交资料（包括但不限于财务报告表、组织机构、公司概况等）：</w:t>
      </w:r>
    </w:p>
    <w:p>
      <w:pPr>
        <w:spacing w:line="360" w:lineRule="auto"/>
        <w:ind w:firstLine="480" w:firstLineChars="200"/>
        <w:rPr>
          <w:rFonts w:ascii="宋体" w:hAnsi="宋体" w:cs="Arial"/>
          <w:szCs w:val="21"/>
        </w:rPr>
      </w:pPr>
      <w:r>
        <w:rPr>
          <w:rFonts w:hAnsi="宋体" w:cs="宋体" w:hint="eastAsia"/>
          <w:szCs w:val="21"/>
        </w:rPr>
        <w:t>（1）</w:t>
      </w:r>
      <w:r>
        <w:rPr>
          <w:rFonts w:ascii="宋体" w:hAnsi="宋体" w:cs="Arial" w:hint="eastAsia"/>
          <w:b/>
          <w:bCs/>
          <w:szCs w:val="21"/>
        </w:rPr>
        <w:t>“国家企业信用信息公示系统”网页报告</w:t>
      </w:r>
      <w:r>
        <w:rPr>
          <w:rFonts w:ascii="宋体" w:hAnsi="宋体" w:cs="Arial" w:hint="eastAsia"/>
          <w:szCs w:val="21"/>
        </w:rPr>
        <w:t>。</w:t>
      </w:r>
    </w:p>
    <w:p>
      <w:pPr>
        <w:pStyle w:val="PlainText"/>
        <w:spacing w:line="300" w:lineRule="auto"/>
        <w:ind w:firstLine="420"/>
        <w:rPr>
          <w:rFonts w:hAnsi="宋体" w:cs="宋体"/>
          <w:szCs w:val="21"/>
        </w:rPr>
      </w:pPr>
      <w:r>
        <w:rPr>
          <w:rFonts w:hAnsi="宋体" w:cs="宋体" w:hint="eastAsia"/>
          <w:szCs w:val="21"/>
        </w:rPr>
        <w:t>（2）</w:t>
      </w:r>
      <w:r>
        <w:rPr>
          <w:rFonts w:hAnsi="宋体" w:cs="Arial" w:hint="eastAsia"/>
          <w:szCs w:val="21"/>
        </w:rPr>
        <w:t>公司概况及</w:t>
      </w:r>
      <w:r>
        <w:rPr>
          <w:rFonts w:hAnsi="宋体" w:cs="宋体" w:hint="eastAsia"/>
          <w:szCs w:val="21"/>
        </w:rPr>
        <w:t>公司组织机构；</w:t>
      </w:r>
    </w:p>
    <w:p>
      <w:pPr>
        <w:pStyle w:val="PlainText"/>
        <w:spacing w:line="300" w:lineRule="auto"/>
        <w:ind w:firstLine="420"/>
        <w:rPr>
          <w:rFonts w:hAnsi="宋体" w:cs="宋体"/>
          <w:szCs w:val="21"/>
        </w:rPr>
      </w:pPr>
      <w:r>
        <w:rPr>
          <w:rFonts w:hAnsi="宋体" w:cs="宋体" w:hint="eastAsia"/>
          <w:szCs w:val="21"/>
        </w:rPr>
        <w:t>（3）近两年财务报表包括资产负债表、损益表、现金流量表、纳税情况表等（加盖投标人公章）</w:t>
      </w:r>
    </w:p>
    <w:p>
      <w:pPr>
        <w:pStyle w:val="PlainText"/>
        <w:spacing w:line="300" w:lineRule="auto"/>
        <w:ind w:firstLine="420"/>
        <w:rPr>
          <w:rFonts w:hAnsi="宋体" w:cs="宋体"/>
          <w:szCs w:val="21"/>
        </w:rPr>
      </w:pPr>
      <w:r>
        <w:rPr>
          <w:rFonts w:hAnsi="宋体" w:cs="宋体" w:hint="eastAsia"/>
          <w:szCs w:val="21"/>
        </w:rPr>
        <w:t>兹证明，上述说明属实，并已提供相应资料和数据，我方同意遵照贵方要求出示有关证明文件。</w:t>
      </w:r>
    </w:p>
    <w:p>
      <w:pPr>
        <w:pStyle w:val="Heading4"/>
        <w:ind w:left="420"/>
        <w:rPr>
          <w:rFonts w:ascii="宋体" w:eastAsia="宋体" w:hAnsi="宋体" w:cs="宋体" w:hint="eastAsia"/>
          <w:sz w:val="21"/>
          <w:szCs w:val="21"/>
        </w:rPr>
      </w:pPr>
      <w:r>
        <w:rPr>
          <w:rFonts w:ascii="宋体" w:eastAsia="宋体" w:hAnsi="宋体" w:cs="宋体" w:hint="eastAsia"/>
          <w:sz w:val="21"/>
          <w:szCs w:val="21"/>
        </w:rPr>
        <w:br w:type="page"/>
      </w:r>
      <w:r>
        <w:rPr>
          <w:rFonts w:ascii="宋体" w:eastAsia="宋体" w:hAnsi="宋体" w:cs="宋体" w:hint="eastAsia"/>
          <w:sz w:val="21"/>
          <w:szCs w:val="21"/>
        </w:rPr>
        <w:t>四、政府采购违法行为风险知悉确认书</w:t>
      </w:r>
    </w:p>
    <w:p>
      <w:pPr>
        <w:spacing w:line="360" w:lineRule="auto"/>
        <w:ind w:firstLine="480" w:firstLineChars="200"/>
        <w:rPr>
          <w:rFonts w:ascii="宋体" w:hAnsi="宋体" w:cs="宋体" w:hint="eastAsia"/>
          <w:szCs w:val="21"/>
        </w:rPr>
      </w:pPr>
      <w:r>
        <w:rPr>
          <w:rFonts w:ascii="宋体" w:hAnsi="宋体" w:cs="宋体" w:hint="eastAsia"/>
          <w:szCs w:val="21"/>
        </w:rPr>
        <w:t>本公司在投标前已充分知悉以下情形为参与政府采购活动时的重大风险事项，并承诺已对下述风险提示事项重点排查，做到严谨、诚信、依法依规参与政府采购活动。</w:t>
      </w:r>
    </w:p>
    <w:p>
      <w:pPr>
        <w:spacing w:line="360" w:lineRule="auto"/>
        <w:ind w:firstLine="480" w:firstLineChars="200"/>
        <w:rPr>
          <w:rFonts w:ascii="宋体" w:hAnsi="宋体" w:cs="宋体" w:hint="eastAsia"/>
          <w:b/>
          <w:bCs/>
          <w:szCs w:val="21"/>
        </w:rPr>
      </w:pPr>
      <w:r>
        <w:rPr>
          <w:rFonts w:ascii="宋体" w:hAnsi="宋体" w:cs="宋体" w:hint="eastAsia"/>
          <w:b/>
          <w:bCs/>
          <w:szCs w:val="21"/>
        </w:rPr>
        <w:t>一、本公司已充分知悉“隐瞒真实情况，提供虚假资料”的法定情形，相关情形包括但不限于∶</w:t>
      </w:r>
    </w:p>
    <w:p>
      <w:pPr>
        <w:spacing w:line="360" w:lineRule="auto"/>
        <w:ind w:firstLine="480" w:firstLineChars="200"/>
        <w:rPr>
          <w:rFonts w:ascii="宋体" w:hAnsi="宋体" w:cs="宋体" w:hint="eastAsia"/>
          <w:szCs w:val="21"/>
        </w:rPr>
      </w:pPr>
      <w:r>
        <w:rPr>
          <w:rFonts w:ascii="宋体" w:hAnsi="宋体" w:cs="宋体" w:hint="eastAsia"/>
          <w:szCs w:val="21"/>
        </w:rPr>
        <w:t>（一）通过转让或者租借等方式从其他单位获取资格或者资质证书投标的。</w:t>
      </w:r>
    </w:p>
    <w:p>
      <w:pPr>
        <w:spacing w:line="360" w:lineRule="auto"/>
        <w:ind w:firstLine="480" w:firstLineChars="200"/>
        <w:rPr>
          <w:rFonts w:ascii="宋体" w:hAnsi="宋体" w:cs="宋体" w:hint="eastAsia"/>
          <w:szCs w:val="21"/>
        </w:rPr>
      </w:pPr>
      <w:r>
        <w:rPr>
          <w:rFonts w:ascii="宋体" w:hAnsi="宋体" w:cs="宋体" w:hint="eastAsia"/>
          <w:szCs w:val="21"/>
        </w:rPr>
        <w:t>（二）由其他单位或者其他单位负责人在投标供应商编制的投标文件上加盖印章或者签字的。</w:t>
      </w:r>
    </w:p>
    <w:p>
      <w:pPr>
        <w:spacing w:line="360" w:lineRule="auto"/>
        <w:ind w:firstLine="480" w:firstLineChars="200"/>
        <w:rPr>
          <w:rFonts w:ascii="宋体" w:hAnsi="宋体" w:cs="宋体" w:hint="eastAsia"/>
          <w:szCs w:val="21"/>
        </w:rPr>
      </w:pPr>
      <w:r>
        <w:rPr>
          <w:rFonts w:ascii="宋体" w:hAnsi="宋体" w:cs="宋体" w:hint="eastAsia"/>
          <w:szCs w:val="21"/>
        </w:rPr>
        <w:t>（三）项目负责人或者主要技术人员不是本单位人员的。</w:t>
      </w:r>
    </w:p>
    <w:p>
      <w:pPr>
        <w:spacing w:line="360" w:lineRule="auto"/>
        <w:ind w:firstLine="480" w:firstLineChars="200"/>
        <w:rPr>
          <w:rFonts w:ascii="宋体" w:hAnsi="宋体" w:cs="宋体" w:hint="eastAsia"/>
          <w:szCs w:val="21"/>
        </w:rPr>
      </w:pPr>
      <w:r>
        <w:rPr>
          <w:rFonts w:ascii="宋体" w:hAnsi="宋体" w:cs="宋体" w:hint="eastAsia"/>
          <w:szCs w:val="21"/>
        </w:rPr>
        <w:t>（四）投标保证金不是从投标供应商基本账户转出的。</w:t>
      </w:r>
    </w:p>
    <w:p>
      <w:pPr>
        <w:spacing w:line="360" w:lineRule="auto"/>
        <w:ind w:firstLine="480" w:firstLineChars="200"/>
        <w:rPr>
          <w:rFonts w:ascii="宋体" w:hAnsi="宋体" w:cs="宋体" w:hint="eastAsia"/>
          <w:szCs w:val="21"/>
        </w:rPr>
      </w:pPr>
      <w:r>
        <w:rPr>
          <w:rFonts w:ascii="宋体" w:hAnsi="宋体" w:cs="宋体" w:hint="eastAsia"/>
          <w:szCs w:val="21"/>
        </w:rPr>
        <w:t>（五）其他隐瞒真实情况、提供虚假资料的行为。</w:t>
      </w:r>
    </w:p>
    <w:p>
      <w:pPr>
        <w:spacing w:line="360" w:lineRule="auto"/>
        <w:ind w:firstLine="480" w:firstLineChars="200"/>
        <w:rPr>
          <w:rFonts w:ascii="宋体" w:hAnsi="宋体" w:cs="宋体" w:hint="eastAsia"/>
          <w:b/>
          <w:bCs/>
          <w:szCs w:val="21"/>
        </w:rPr>
      </w:pPr>
      <w:r>
        <w:rPr>
          <w:rFonts w:ascii="宋体" w:hAnsi="宋体" w:cs="宋体" w:hint="eastAsia"/>
          <w:b/>
          <w:bCs/>
          <w:szCs w:val="21"/>
        </w:rPr>
        <w:t>二、本公司已充分知悉“与其他采购参加人串通投标”的法定情形，相关情形包括但不限于∶</w:t>
      </w:r>
    </w:p>
    <w:p>
      <w:pPr>
        <w:spacing w:line="360" w:lineRule="auto"/>
        <w:ind w:firstLine="480" w:firstLineChars="200"/>
        <w:rPr>
          <w:rFonts w:ascii="宋体" w:hAnsi="宋体" w:cs="宋体" w:hint="eastAsia"/>
          <w:szCs w:val="21"/>
        </w:rPr>
      </w:pPr>
      <w:r>
        <w:rPr>
          <w:rFonts w:ascii="宋体" w:hAnsi="宋体" w:cs="宋体" w:hint="eastAsia"/>
          <w:szCs w:val="21"/>
        </w:rPr>
        <w:t>（一）投标供应商之间相互约定给予未中标的供应商利益补偿。</w:t>
      </w:r>
    </w:p>
    <w:p>
      <w:pPr>
        <w:spacing w:line="360" w:lineRule="auto"/>
        <w:ind w:firstLine="480" w:firstLineChars="200"/>
        <w:rPr>
          <w:rFonts w:ascii="宋体" w:hAnsi="宋体" w:cs="宋体" w:hint="eastAsia"/>
          <w:szCs w:val="21"/>
        </w:rPr>
      </w:pPr>
      <w:r>
        <w:rPr>
          <w:rFonts w:ascii="宋体" w:hAnsi="宋体" w:cs="宋体" w:hint="eastAsia"/>
          <w:szCs w:val="21"/>
        </w:rPr>
        <w:t>（二）不同投标供应商的法定代表人、主要经营负责人、项目投标授权代表人、项目负责人、主要技术人员为同一人、属同一单位或者在同一单位缴纳社会保险。</w:t>
      </w:r>
    </w:p>
    <w:p>
      <w:pPr>
        <w:spacing w:line="360" w:lineRule="auto"/>
        <w:ind w:firstLine="480" w:firstLineChars="200"/>
        <w:rPr>
          <w:rFonts w:ascii="宋体" w:hAnsi="宋体" w:cs="宋体" w:hint="eastAsia"/>
          <w:szCs w:val="21"/>
        </w:rPr>
      </w:pPr>
      <w:r>
        <w:rPr>
          <w:rFonts w:ascii="宋体" w:hAnsi="宋体" w:cs="宋体" w:hint="eastAsia"/>
          <w:szCs w:val="21"/>
        </w:rPr>
        <w:t>（三）不同投标供应商的投标文件由同一单位或者同一人编制，或者由同一人分阶段参与编制的。</w:t>
      </w:r>
    </w:p>
    <w:p>
      <w:pPr>
        <w:spacing w:line="360" w:lineRule="auto"/>
        <w:ind w:firstLine="480" w:firstLineChars="200"/>
        <w:rPr>
          <w:rFonts w:ascii="宋体" w:hAnsi="宋体" w:cs="宋体" w:hint="eastAsia"/>
          <w:szCs w:val="21"/>
        </w:rPr>
      </w:pPr>
      <w:r>
        <w:rPr>
          <w:rFonts w:ascii="宋体" w:hAnsi="宋体" w:cs="宋体" w:hint="eastAsia"/>
          <w:szCs w:val="21"/>
        </w:rPr>
        <w:t>（四）不同投标供应商的投标文件或部分投标文件相互混装。</w:t>
      </w:r>
    </w:p>
    <w:p>
      <w:pPr>
        <w:spacing w:line="360" w:lineRule="auto"/>
        <w:ind w:firstLine="480" w:firstLineChars="200"/>
        <w:rPr>
          <w:rFonts w:ascii="宋体" w:hAnsi="宋体" w:cs="宋体" w:hint="eastAsia"/>
          <w:szCs w:val="21"/>
        </w:rPr>
      </w:pPr>
      <w:r>
        <w:rPr>
          <w:rFonts w:ascii="宋体" w:hAnsi="宋体" w:cs="宋体" w:hint="eastAsia"/>
          <w:szCs w:val="21"/>
        </w:rPr>
        <w:t>（五）不同投标供应商的投标文件内容存在非正常一致。</w:t>
      </w:r>
    </w:p>
    <w:p>
      <w:pPr>
        <w:spacing w:line="360" w:lineRule="auto"/>
        <w:ind w:firstLine="480" w:firstLineChars="200"/>
        <w:rPr>
          <w:rFonts w:ascii="宋体" w:hAnsi="宋体" w:cs="宋体" w:hint="eastAsia"/>
          <w:szCs w:val="21"/>
        </w:rPr>
      </w:pPr>
      <w:r>
        <w:rPr>
          <w:rFonts w:ascii="宋体" w:hAnsi="宋体" w:cs="宋体" w:hint="eastAsia"/>
          <w:szCs w:val="21"/>
        </w:rPr>
        <w:t>（六）由同一单位工作人员为两家以上（含两家）供应商进行同一项投标活动的。</w:t>
      </w:r>
    </w:p>
    <w:p>
      <w:pPr>
        <w:spacing w:line="360" w:lineRule="auto"/>
        <w:ind w:firstLine="480" w:firstLineChars="200"/>
        <w:rPr>
          <w:rFonts w:ascii="宋体" w:hAnsi="宋体" w:cs="宋体" w:hint="eastAsia"/>
          <w:szCs w:val="21"/>
        </w:rPr>
      </w:pPr>
      <w:r>
        <w:rPr>
          <w:rFonts w:ascii="宋体" w:hAnsi="宋体" w:cs="宋体" w:hint="eastAsia"/>
          <w:szCs w:val="21"/>
        </w:rPr>
        <w:t>（七）不同投标人的投标报价呈规律性差异。</w:t>
      </w:r>
    </w:p>
    <w:p>
      <w:pPr>
        <w:spacing w:line="360" w:lineRule="auto"/>
        <w:ind w:firstLine="480" w:firstLineChars="200"/>
        <w:rPr>
          <w:rFonts w:ascii="宋体" w:hAnsi="宋体" w:cs="宋体" w:hint="eastAsia"/>
          <w:szCs w:val="21"/>
        </w:rPr>
      </w:pPr>
      <w:r>
        <w:rPr>
          <w:rFonts w:ascii="宋体" w:hAnsi="宋体" w:cs="宋体" w:hint="eastAsia"/>
          <w:szCs w:val="21"/>
        </w:rPr>
        <w:t>（八）不同投标人的投标保证金从同一单位或者个人的账户转出。</w:t>
      </w:r>
    </w:p>
    <w:p>
      <w:pPr>
        <w:spacing w:line="360" w:lineRule="auto"/>
        <w:ind w:firstLine="480" w:firstLineChars="200"/>
        <w:rPr>
          <w:rFonts w:ascii="宋体" w:hAnsi="宋体" w:cs="宋体" w:hint="eastAsia"/>
          <w:szCs w:val="21"/>
        </w:rPr>
      </w:pPr>
      <w:r>
        <w:rPr>
          <w:rFonts w:ascii="宋体" w:hAnsi="宋体" w:cs="宋体" w:hint="eastAsia"/>
          <w:szCs w:val="21"/>
        </w:rPr>
        <w:t>（九）主管部门依照法律、法规认定的其他情形。</w:t>
      </w:r>
    </w:p>
    <w:p>
      <w:pPr>
        <w:spacing w:line="360" w:lineRule="auto"/>
        <w:ind w:firstLine="480" w:firstLineChars="200"/>
        <w:rPr>
          <w:rFonts w:ascii="宋体" w:hAnsi="宋体" w:cs="宋体" w:hint="eastAsia"/>
          <w:b/>
          <w:bCs/>
          <w:szCs w:val="21"/>
        </w:rPr>
      </w:pPr>
      <w:r>
        <w:rPr>
          <w:rFonts w:ascii="宋体" w:hAnsi="宋体" w:cs="宋体" w:hint="eastAsia"/>
          <w:b/>
          <w:bCs/>
          <w:szCs w:val="21"/>
        </w:rPr>
        <w:t>三、本公司已充分知悉下列情形所对应的法律风险，并在投标前已对相关风险事项进行排查。</w:t>
      </w:r>
    </w:p>
    <w:p>
      <w:pPr>
        <w:spacing w:line="360" w:lineRule="auto"/>
        <w:ind w:firstLine="480" w:firstLineChars="200"/>
        <w:rPr>
          <w:rFonts w:ascii="宋体" w:hAnsi="宋体" w:cs="宋体" w:hint="eastAsia"/>
          <w:b/>
          <w:bCs/>
          <w:szCs w:val="21"/>
        </w:rPr>
      </w:pPr>
      <w:r>
        <w:rPr>
          <w:rFonts w:ascii="宋体" w:hAnsi="宋体" w:cs="宋体" w:hint="eastAsia"/>
          <w:szCs w:val="21"/>
        </w:rPr>
        <w:t>（一）对于从其他主体获取的投标资料，供应商应审慎核查，确保投标资料的真实性。</w:t>
      </w:r>
      <w:r>
        <w:rPr>
          <w:rFonts w:ascii="宋体" w:hAnsi="宋体" w:cs="宋体" w:hint="eastAsia"/>
          <w:b/>
          <w:bCs/>
          <w:szCs w:val="21"/>
        </w:rPr>
        <w:t>如主管部门查实投标文件中存在虚假资料的，无论相关资料是否由第三方或本公司员工提供，均不影响主管部门对供应商存在“隐瞒真实情况，提供虚假资料”违法行为的认定。</w:t>
      </w:r>
    </w:p>
    <w:p>
      <w:pPr>
        <w:spacing w:line="360" w:lineRule="auto"/>
        <w:ind w:firstLine="480" w:firstLineChars="200"/>
        <w:rPr>
          <w:rFonts w:ascii="宋体" w:hAnsi="宋体" w:cs="宋体" w:hint="eastAsia"/>
          <w:szCs w:val="21"/>
        </w:rPr>
      </w:pPr>
      <w:r>
        <w:rPr>
          <w:rFonts w:ascii="宋体" w:hAnsi="宋体" w:cs="宋体" w:hint="eastAsia"/>
          <w:szCs w:val="21"/>
        </w:rPr>
        <w:t>（二）对于涉及国家机关出具的公文、证件、证明材料等文件，一旦涉嫌虚假，经查实，主管部门将依法从严处理，并移送有关部门追究法律责任；涉嫌犯罪的，主管部门将一并移送司法机关追究法律责任。</w:t>
      </w:r>
    </w:p>
    <w:p>
      <w:pPr>
        <w:spacing w:line="360" w:lineRule="auto"/>
        <w:ind w:firstLine="480" w:firstLineChars="200"/>
        <w:rPr>
          <w:rFonts w:ascii="宋体" w:hAnsi="宋体" w:cs="宋体" w:hint="eastAsia"/>
          <w:szCs w:val="21"/>
        </w:rPr>
      </w:pPr>
      <w:r>
        <w:rPr>
          <w:rFonts w:ascii="宋体" w:hAnsi="宋体" w:cs="宋体" w:hint="eastAsia"/>
          <w:szCs w:val="21"/>
        </w:rPr>
        <w:t>（三）对于涉及安全生产、特种作业、抢险救灾、防疫等政府采购项目，供应商实施提供虚假资料、串通投标等违法行为的，主管部门将依法从严处理。</w:t>
      </w:r>
    </w:p>
    <w:p>
      <w:pPr>
        <w:spacing w:line="360" w:lineRule="auto"/>
        <w:ind w:firstLine="480" w:firstLineChars="200"/>
        <w:rPr>
          <w:rFonts w:ascii="宋体" w:hAnsi="宋体" w:cs="宋体" w:hint="eastAsia"/>
          <w:szCs w:val="21"/>
        </w:rPr>
      </w:pPr>
      <w:r>
        <w:rPr>
          <w:rFonts w:ascii="宋体" w:hAnsi="宋体" w:cs="宋体" w:hint="eastAsia"/>
          <w:szCs w:val="21"/>
        </w:rPr>
        <w:t>（四）供应商应严格规范项目授权代表、员工参与招标投标的行为，加强对投标文件的审核。项目授权代表、员工编制、上传投标文件等行为违反政府采购法律法规或招标文件要求的，投标供应商应当依法承担相应法律责任。</w:t>
      </w:r>
    </w:p>
    <w:p>
      <w:pPr>
        <w:spacing w:line="360" w:lineRule="auto"/>
        <w:ind w:firstLine="480" w:firstLineChars="200"/>
        <w:rPr>
          <w:rFonts w:ascii="宋体" w:hAnsi="宋体" w:cs="宋体" w:hint="eastAsia"/>
          <w:szCs w:val="21"/>
        </w:rPr>
      </w:pPr>
      <w:r>
        <w:rPr>
          <w:rFonts w:ascii="宋体" w:hAnsi="宋体" w:cs="宋体" w:hint="eastAsia"/>
          <w:szCs w:val="21"/>
        </w:rPr>
        <w:t>（五）供应商对投标电子密钥负有妥善保管、及时变更和续期等主体责任。供应商使用电子密钥在深圳政府采购网站进行的活动，均具有法律效力，须承担相应的法律后果。供应商擅自将投标密钥出借他人使用所造成的法律后果，由供应商自行承担。</w:t>
      </w:r>
    </w:p>
    <w:p>
      <w:pPr>
        <w:spacing w:line="360" w:lineRule="auto"/>
        <w:ind w:firstLine="480" w:firstLineChars="200"/>
        <w:rPr>
          <w:rFonts w:ascii="宋体" w:hAnsi="宋体" w:cs="宋体" w:hint="eastAsia"/>
          <w:szCs w:val="21"/>
        </w:rPr>
      </w:pPr>
      <w:r>
        <w:rPr>
          <w:rFonts w:ascii="宋体" w:hAnsi="宋体" w:cs="宋体" w:hint="eastAsia"/>
          <w:szCs w:val="21"/>
        </w:rPr>
        <w:t>（六）单位负责人为同一人或者存在直接控股、管理关系的不同供应商，不得参加同一合同项下的政府采购活动。相关情形如查实，依法作投标无效处理；涉嫌串通投标等违法行为的，主管部门将依法调查处理。</w:t>
      </w:r>
    </w:p>
    <w:p>
      <w:pPr>
        <w:spacing w:line="360" w:lineRule="auto"/>
        <w:ind w:firstLine="480" w:firstLineChars="200"/>
        <w:rPr>
          <w:rFonts w:ascii="宋体" w:hAnsi="宋体" w:cs="宋体" w:hint="eastAsia"/>
          <w:szCs w:val="21"/>
        </w:rPr>
      </w:pPr>
      <w:r>
        <w:rPr>
          <w:rFonts w:ascii="宋体" w:hAnsi="宋体" w:cs="宋体" w:hint="eastAsia"/>
          <w:b/>
          <w:bCs/>
          <w:szCs w:val="21"/>
        </w:rPr>
        <w:t>四、本公司已充分知悉政府采购违法、违规行为的法律后果。</w:t>
      </w:r>
      <w:r>
        <w:rPr>
          <w:rFonts w:ascii="宋体" w:hAnsi="宋体" w:cs="宋体" w:hint="eastAsia"/>
          <w:szCs w:val="21"/>
        </w:rPr>
        <w:t>经查实，若投标供应商存在政府采购违法、违规行为，主管部门将依据《深圳经济特区政府采购条例》第五十七条的规定，处以一至三年内禁止参与本市政府采购，并由主管部门记入供应商诚信档案，处采购金额千分之十以上千分之二十以下罚款情节严重的，取消参与本市政府采购资格，处采购金额千分之二十以上千分之三十以下罚款，并由市场监管部门依法吊销营业执照。</w:t>
      </w:r>
    </w:p>
    <w:p>
      <w:pPr>
        <w:spacing w:line="360" w:lineRule="auto"/>
        <w:ind w:firstLine="480" w:firstLineChars="200"/>
        <w:rPr>
          <w:rFonts w:ascii="宋体" w:hAnsi="宋体" w:cs="宋体" w:hint="eastAsia"/>
          <w:szCs w:val="21"/>
        </w:rPr>
      </w:pPr>
      <w:r>
        <w:rPr>
          <w:rFonts w:ascii="宋体" w:hAnsi="宋体" w:cs="宋体" w:hint="eastAsia"/>
          <w:szCs w:val="21"/>
        </w:rPr>
        <w:t>以下文字请投标供应商抄写并确认∶“本公司已仔细阅读《政府采购违法行为风险知悉确认书》，充分知悉违法行为的法律后果，并承诺将严谨、诚信、依法依规参与政府采购活动”。</w:t>
      </w:r>
    </w:p>
    <w:p>
      <w:pPr>
        <w:spacing w:line="360" w:lineRule="auto"/>
        <w:rPr>
          <w:rFonts w:ascii="宋体" w:hAnsi="宋体" w:cs="宋体" w:hint="eastAsia"/>
          <w:szCs w:val="21"/>
        </w:rPr>
      </w:pPr>
    </w:p>
    <w:p>
      <w:pPr>
        <w:wordWrap w:val="0"/>
        <w:spacing w:line="360" w:lineRule="auto"/>
        <w:jc w:val="center"/>
        <w:rPr>
          <w:rFonts w:ascii="宋体" w:hAnsi="宋体" w:cs="宋体"/>
          <w:szCs w:val="21"/>
        </w:rPr>
      </w:pPr>
      <w:r>
        <w:rPr>
          <w:rFonts w:ascii="宋体" w:hAnsi="宋体" w:cs="宋体" w:hint="eastAsia"/>
          <w:szCs w:val="21"/>
        </w:rPr>
        <w:t xml:space="preserve">                                    负责人/投标授权代表签名：           </w:t>
      </w:r>
    </w:p>
    <w:p>
      <w:pPr>
        <w:wordWrap w:val="0"/>
        <w:spacing w:line="360" w:lineRule="auto"/>
        <w:jc w:val="center"/>
        <w:rPr>
          <w:rFonts w:ascii="宋体" w:hAnsi="宋体" w:cs="宋体"/>
          <w:szCs w:val="21"/>
        </w:rPr>
      </w:pPr>
      <w:r>
        <w:rPr>
          <w:rFonts w:ascii="宋体" w:hAnsi="宋体" w:cs="宋体" w:hint="eastAsia"/>
          <w:szCs w:val="21"/>
        </w:rPr>
        <w:t xml:space="preserve">                                     知悉人（公章）：                     </w:t>
      </w:r>
    </w:p>
    <w:p>
      <w:pPr>
        <w:wordWrap w:val="0"/>
        <w:spacing w:line="360" w:lineRule="auto"/>
        <w:jc w:val="right"/>
        <w:rPr>
          <w:rFonts w:ascii="宋体" w:hAnsi="宋体" w:cs="宋体"/>
          <w:sz w:val="24"/>
        </w:rPr>
      </w:pPr>
      <w:r>
        <w:rPr>
          <w:rFonts w:ascii="宋体" w:hAnsi="宋体" w:cs="宋体" w:hint="eastAsia"/>
          <w:szCs w:val="21"/>
        </w:rPr>
        <w:t xml:space="preserve">     日期∶                  </w:t>
      </w:r>
      <w:r>
        <w:rPr>
          <w:rFonts w:ascii="宋体" w:hAnsi="宋体" w:cs="宋体" w:hint="eastAsia"/>
          <w:sz w:val="24"/>
        </w:rPr>
        <w:t xml:space="preserve">            </w:t>
      </w:r>
    </w:p>
    <w:p>
      <w:pPr>
        <w:rPr>
          <w:rFonts w:ascii="宋体" w:hAnsi="宋体" w:cs="宋体" w:hint="eastAsia"/>
          <w:sz w:val="24"/>
        </w:rPr>
      </w:pPr>
    </w:p>
    <w:p>
      <w:pPr>
        <w:jc w:val="center"/>
        <w:rPr>
          <w:rFonts w:ascii="宋体" w:hAnsi="宋体" w:cs="宋体" w:hint="eastAsia"/>
          <w:szCs w:val="21"/>
        </w:rPr>
      </w:pPr>
      <w:r>
        <w:rPr>
          <w:rFonts w:ascii="宋体" w:hAnsi="宋体" w:cs="宋体" w:hint="eastAsia"/>
          <w:szCs w:val="21"/>
        </w:rPr>
        <w:br w:type="page"/>
      </w:r>
    </w:p>
    <w:p>
      <w:pPr>
        <w:pStyle w:val="Heading4"/>
        <w:jc w:val="center"/>
        <w:rPr>
          <w:rFonts w:ascii="宋体" w:eastAsia="宋体" w:hAnsi="宋体" w:cs="宋体" w:hint="eastAsia"/>
          <w:sz w:val="21"/>
          <w:szCs w:val="21"/>
        </w:rPr>
      </w:pPr>
      <w:r>
        <w:rPr>
          <w:rFonts w:ascii="宋体" w:eastAsia="宋体" w:hAnsi="宋体" w:cs="宋体" w:hint="eastAsia"/>
          <w:sz w:val="21"/>
          <w:szCs w:val="21"/>
        </w:rPr>
        <w:t>五、详细分项报价清单</w:t>
      </w:r>
    </w:p>
    <w:p>
      <w:pPr>
        <w:jc w:val="center"/>
        <w:rPr>
          <w:rFonts w:ascii="宋体" w:hAnsi="宋体" w:cs="宋体" w:hint="eastAsia"/>
          <w:b/>
          <w:bCs/>
          <w:szCs w:val="21"/>
          <w:lang w:val="zh-CN"/>
        </w:rPr>
      </w:pPr>
      <w:r>
        <w:rPr>
          <w:rFonts w:ascii="宋体" w:hAnsi="宋体" w:cs="宋体" w:hint="eastAsia"/>
          <w:b/>
          <w:bCs/>
          <w:szCs w:val="21"/>
          <w:lang w:val="zh-CN"/>
        </w:rPr>
        <w:t>分类报价明细表</w:t>
      </w:r>
    </w:p>
    <w:tbl>
      <w:tblPr>
        <w:tblStyle w:val="TableNormal"/>
        <w:tblW w:w="0" w:type="auto"/>
        <w:jc w:val="center"/>
        <w:tblBorders>
          <w:top w:val="single" w:sz="4" w:space="0" w:color="auto"/>
          <w:left w:val="single" w:sz="4" w:space="0" w:color="auto"/>
          <w:bottom w:val="single" w:sz="4" w:space="0" w:color="auto"/>
          <w:right w:val="single" w:sz="4" w:space="0" w:color="auto"/>
          <w:insideH w:val="nil"/>
          <w:insideV w:val="nil"/>
        </w:tblBorders>
        <w:tblLayout w:type="fixed"/>
        <w:tblCellMar>
          <w:top w:w="0" w:type="dxa"/>
          <w:left w:w="108" w:type="dxa"/>
          <w:bottom w:w="0" w:type="dxa"/>
          <w:right w:w="108" w:type="dxa"/>
        </w:tblCellMar>
        <w:tblLook w:val="0000"/>
      </w:tblPr>
      <w:tblGrid>
        <w:gridCol w:w="844"/>
        <w:gridCol w:w="1246"/>
        <w:gridCol w:w="965"/>
        <w:gridCol w:w="812"/>
        <w:gridCol w:w="50"/>
        <w:gridCol w:w="837"/>
        <w:gridCol w:w="1074"/>
        <w:gridCol w:w="649"/>
        <w:gridCol w:w="674"/>
        <w:gridCol w:w="737"/>
        <w:gridCol w:w="936"/>
        <w:gridCol w:w="843"/>
      </w:tblGrid>
      <w:tr>
        <w:tblPrEx>
          <w:tblW w:w="0" w:type="auto"/>
          <w:jc w:val="center"/>
          <w:tblBorders>
            <w:top w:val="single" w:sz="4" w:space="0" w:color="auto"/>
            <w:left w:val="single" w:sz="4" w:space="0" w:color="auto"/>
            <w:bottom w:val="single" w:sz="4" w:space="0" w:color="auto"/>
            <w:right w:val="single" w:sz="4" w:space="0" w:color="auto"/>
            <w:insideH w:val="nil"/>
            <w:insideV w:val="nil"/>
          </w:tblBorders>
          <w:tblLayout w:type="fixed"/>
          <w:tblCellMar>
            <w:top w:w="0" w:type="dxa"/>
            <w:left w:w="108" w:type="dxa"/>
            <w:bottom w:w="0" w:type="dxa"/>
            <w:right w:w="108" w:type="dxa"/>
          </w:tblCellMar>
          <w:tblLook w:val="0000"/>
        </w:tblPrEx>
        <w:trPr>
          <w:trHeight w:val="454"/>
          <w:jc w:val="center"/>
        </w:trPr>
        <w:tc>
          <w:tcPr>
            <w:tcW w:w="9667" w:type="dxa"/>
            <w:gridSpan w:val="12"/>
            <w:tcBorders>
              <w:top w:val="single" w:sz="4" w:space="0" w:color="auto"/>
              <w:left w:val="single" w:sz="4" w:space="0" w:color="auto"/>
              <w:bottom w:val="single" w:sz="4" w:space="0" w:color="auto"/>
              <w:right w:val="single" w:sz="4" w:space="0" w:color="auto"/>
            </w:tcBorders>
            <w:vAlign w:val="center"/>
          </w:tcPr>
          <w:p>
            <w:pPr>
              <w:tabs>
                <w:tab w:val="left" w:pos="315"/>
                <w:tab w:val="left" w:pos="510"/>
              </w:tabs>
              <w:adjustRightInd w:val="0"/>
              <w:rPr>
                <w:rFonts w:ascii="宋体" w:hAnsi="宋体" w:cs="宋体" w:hint="eastAsia"/>
                <w:szCs w:val="21"/>
                <w:lang w:val="zh-CN"/>
              </w:rPr>
            </w:pPr>
            <w:r>
              <w:rPr>
                <w:rFonts w:ascii="宋体" w:hAnsi="宋体" w:cs="宋体" w:hint="eastAsia"/>
                <w:b/>
                <w:bCs/>
                <w:szCs w:val="21"/>
                <w:lang w:val="zh-CN"/>
              </w:rPr>
              <w:t>一、</w:t>
            </w:r>
            <w:r>
              <w:rPr>
                <w:rFonts w:ascii="宋体" w:hAnsi="宋体" w:cs="宋体" w:hint="eastAsia"/>
                <w:b/>
                <w:bCs/>
                <w:szCs w:val="21"/>
                <w:lang w:val="zh-CN"/>
              </w:rPr>
              <w:tab/>
            </w:r>
            <w:r>
              <w:rPr>
                <w:rFonts w:ascii="宋体" w:hAnsi="宋体" w:cs="宋体" w:hint="eastAsia"/>
                <w:b/>
                <w:bCs/>
                <w:szCs w:val="21"/>
                <w:lang w:val="zh-CN"/>
              </w:rPr>
              <w:t>设备列价表</w:t>
            </w:r>
          </w:p>
        </w:tc>
      </w:tr>
      <w:tr>
        <w:tblPrEx>
          <w:tblW w:w="0" w:type="auto"/>
          <w:jc w:val="center"/>
          <w:tblLayout w:type="fixed"/>
          <w:tblCellMar>
            <w:top w:w="0" w:type="dxa"/>
            <w:left w:w="108" w:type="dxa"/>
            <w:bottom w:w="0" w:type="dxa"/>
            <w:right w:w="108" w:type="dxa"/>
          </w:tblCellMar>
          <w:tblLook w:val="0000"/>
        </w:tblPrEx>
        <w:trPr>
          <w:trHeight w:val="454"/>
          <w:jc w:val="center"/>
        </w:trPr>
        <w:tc>
          <w:tcPr>
            <w:tcW w:w="844" w:type="dxa"/>
            <w:tcBorders>
              <w:top w:val="single" w:sz="4" w:space="0" w:color="auto"/>
              <w:left w:val="single" w:sz="4" w:space="0" w:color="auto"/>
              <w:bottom w:val="single" w:sz="4" w:space="0" w:color="auto"/>
              <w:right w:val="single" w:sz="4" w:space="0" w:color="auto"/>
            </w:tcBorders>
            <w:vAlign w:val="center"/>
          </w:tcPr>
          <w:p>
            <w:pPr>
              <w:adjustRightInd w:val="0"/>
              <w:jc w:val="center"/>
              <w:rPr>
                <w:rFonts w:ascii="宋体" w:hAnsi="宋体" w:cs="宋体" w:hint="eastAsia"/>
                <w:szCs w:val="21"/>
                <w:lang w:val="zh-CN"/>
              </w:rPr>
            </w:pPr>
            <w:r>
              <w:rPr>
                <w:rFonts w:ascii="宋体" w:hAnsi="宋体" w:cs="宋体" w:hint="eastAsia"/>
                <w:szCs w:val="21"/>
                <w:lang w:val="zh-CN"/>
              </w:rPr>
              <w:t>序号</w:t>
            </w:r>
          </w:p>
        </w:tc>
        <w:tc>
          <w:tcPr>
            <w:tcW w:w="1246" w:type="dxa"/>
            <w:tcBorders>
              <w:top w:val="single" w:sz="4" w:space="0" w:color="auto"/>
              <w:left w:val="single" w:sz="4" w:space="0" w:color="auto"/>
              <w:bottom w:val="single" w:sz="4" w:space="0" w:color="auto"/>
              <w:right w:val="single" w:sz="4" w:space="0" w:color="auto"/>
            </w:tcBorders>
            <w:vAlign w:val="center"/>
          </w:tcPr>
          <w:p>
            <w:pPr>
              <w:tabs>
                <w:tab w:val="left" w:pos="837"/>
              </w:tabs>
              <w:adjustRightInd w:val="0"/>
              <w:jc w:val="center"/>
              <w:rPr>
                <w:rFonts w:ascii="宋体" w:hAnsi="宋体" w:cs="宋体" w:hint="eastAsia"/>
                <w:szCs w:val="21"/>
                <w:lang w:val="zh-CN"/>
              </w:rPr>
            </w:pPr>
            <w:r>
              <w:rPr>
                <w:rFonts w:ascii="宋体" w:hAnsi="宋体" w:cs="宋体" w:hint="eastAsia"/>
                <w:szCs w:val="21"/>
                <w:lang w:val="zh-CN"/>
              </w:rPr>
              <w:t>产品名称</w:t>
            </w:r>
          </w:p>
        </w:tc>
        <w:tc>
          <w:tcPr>
            <w:tcW w:w="965" w:type="dxa"/>
            <w:tcBorders>
              <w:top w:val="single" w:sz="4" w:space="0" w:color="auto"/>
              <w:left w:val="single" w:sz="4" w:space="0" w:color="auto"/>
              <w:bottom w:val="single" w:sz="4" w:space="0" w:color="auto"/>
              <w:right w:val="single" w:sz="4" w:space="0" w:color="auto"/>
            </w:tcBorders>
            <w:vAlign w:val="center"/>
          </w:tcPr>
          <w:p>
            <w:pPr>
              <w:tabs>
                <w:tab w:val="left" w:pos="837"/>
              </w:tabs>
              <w:adjustRightInd w:val="0"/>
              <w:jc w:val="center"/>
              <w:rPr>
                <w:rFonts w:ascii="宋体" w:hAnsi="宋体" w:cs="宋体" w:hint="eastAsia"/>
                <w:szCs w:val="21"/>
                <w:lang w:val="zh-CN"/>
              </w:rPr>
            </w:pPr>
            <w:r>
              <w:rPr>
                <w:rFonts w:ascii="宋体" w:hAnsi="宋体" w:cs="宋体" w:hint="eastAsia"/>
                <w:szCs w:val="21"/>
                <w:lang w:val="zh-CN"/>
              </w:rPr>
              <w:t>制造商</w:t>
            </w:r>
          </w:p>
        </w:tc>
        <w:tc>
          <w:tcPr>
            <w:tcW w:w="812" w:type="dxa"/>
            <w:tcBorders>
              <w:top w:val="single" w:sz="4" w:space="0" w:color="auto"/>
              <w:left w:val="single" w:sz="4" w:space="0" w:color="auto"/>
              <w:bottom w:val="single" w:sz="4" w:space="0" w:color="auto"/>
              <w:right w:val="single" w:sz="4" w:space="0" w:color="auto"/>
            </w:tcBorders>
            <w:vAlign w:val="center"/>
          </w:tcPr>
          <w:p>
            <w:pPr>
              <w:adjustRightInd w:val="0"/>
              <w:jc w:val="center"/>
              <w:rPr>
                <w:rFonts w:ascii="宋体" w:hAnsi="宋体" w:cs="宋体" w:hint="eastAsia"/>
                <w:szCs w:val="21"/>
                <w:lang w:val="zh-CN"/>
              </w:rPr>
            </w:pPr>
            <w:r>
              <w:rPr>
                <w:rFonts w:ascii="宋体" w:hAnsi="宋体" w:cs="宋体" w:hint="eastAsia"/>
                <w:szCs w:val="21"/>
                <w:lang w:val="zh-CN"/>
              </w:rPr>
              <w:t>品 牌</w:t>
            </w:r>
          </w:p>
        </w:tc>
        <w:tc>
          <w:tcPr>
            <w:tcW w:w="887" w:type="dxa"/>
            <w:gridSpan w:val="2"/>
            <w:tcBorders>
              <w:top w:val="single" w:sz="4" w:space="0" w:color="auto"/>
              <w:left w:val="single" w:sz="4" w:space="0" w:color="auto"/>
              <w:bottom w:val="single" w:sz="4" w:space="0" w:color="auto"/>
              <w:right w:val="single" w:sz="4" w:space="0" w:color="auto"/>
            </w:tcBorders>
            <w:vAlign w:val="center"/>
          </w:tcPr>
          <w:p>
            <w:pPr>
              <w:adjustRightInd w:val="0"/>
              <w:jc w:val="center"/>
              <w:rPr>
                <w:rFonts w:ascii="宋体" w:hAnsi="宋体" w:cs="宋体" w:hint="eastAsia"/>
                <w:szCs w:val="21"/>
                <w:lang w:val="zh-CN"/>
              </w:rPr>
            </w:pPr>
            <w:r>
              <w:rPr>
                <w:rFonts w:ascii="宋体" w:hAnsi="宋体" w:cs="宋体" w:hint="eastAsia"/>
                <w:szCs w:val="21"/>
                <w:lang w:val="zh-CN"/>
              </w:rPr>
              <w:t>原产地</w:t>
            </w:r>
          </w:p>
        </w:tc>
        <w:tc>
          <w:tcPr>
            <w:tcW w:w="1074" w:type="dxa"/>
            <w:tcBorders>
              <w:top w:val="single" w:sz="4" w:space="0" w:color="auto"/>
              <w:left w:val="single" w:sz="4" w:space="0" w:color="auto"/>
              <w:bottom w:val="single" w:sz="4" w:space="0" w:color="auto"/>
              <w:right w:val="single" w:sz="4" w:space="0" w:color="auto"/>
            </w:tcBorders>
            <w:vAlign w:val="center"/>
          </w:tcPr>
          <w:p>
            <w:pPr>
              <w:adjustRightInd w:val="0"/>
              <w:jc w:val="center"/>
              <w:rPr>
                <w:rFonts w:ascii="宋体" w:hAnsi="宋体" w:cs="宋体" w:hint="eastAsia"/>
                <w:szCs w:val="21"/>
                <w:lang w:val="zh-CN"/>
              </w:rPr>
            </w:pPr>
            <w:r>
              <w:rPr>
                <w:rFonts w:ascii="宋体" w:hAnsi="宋体" w:cs="宋体" w:hint="eastAsia"/>
                <w:szCs w:val="21"/>
                <w:lang w:val="zh-CN"/>
              </w:rPr>
              <w:t>规格型号</w:t>
            </w:r>
          </w:p>
        </w:tc>
        <w:tc>
          <w:tcPr>
            <w:tcW w:w="649" w:type="dxa"/>
            <w:tcBorders>
              <w:top w:val="single" w:sz="4" w:space="0" w:color="auto"/>
              <w:left w:val="single" w:sz="4" w:space="0" w:color="auto"/>
              <w:bottom w:val="single" w:sz="4" w:space="0" w:color="auto"/>
              <w:right w:val="single" w:sz="4" w:space="0" w:color="auto"/>
            </w:tcBorders>
            <w:vAlign w:val="center"/>
          </w:tcPr>
          <w:p>
            <w:pPr>
              <w:adjustRightInd w:val="0"/>
              <w:jc w:val="center"/>
              <w:rPr>
                <w:rFonts w:ascii="宋体" w:hAnsi="宋体" w:cs="宋体" w:hint="eastAsia"/>
                <w:szCs w:val="21"/>
                <w:lang w:val="zh-CN"/>
              </w:rPr>
            </w:pPr>
            <w:r>
              <w:rPr>
                <w:rFonts w:ascii="宋体" w:hAnsi="宋体" w:cs="宋体" w:hint="eastAsia"/>
                <w:szCs w:val="21"/>
                <w:lang w:val="zh-CN"/>
              </w:rPr>
              <w:t>数量</w:t>
            </w:r>
          </w:p>
        </w:tc>
        <w:tc>
          <w:tcPr>
            <w:tcW w:w="674" w:type="dxa"/>
            <w:tcBorders>
              <w:top w:val="single" w:sz="4" w:space="0" w:color="auto"/>
              <w:left w:val="single" w:sz="4" w:space="0" w:color="auto"/>
              <w:bottom w:val="single" w:sz="4" w:space="0" w:color="auto"/>
              <w:right w:val="single" w:sz="4" w:space="0" w:color="auto"/>
            </w:tcBorders>
            <w:vAlign w:val="center"/>
          </w:tcPr>
          <w:p>
            <w:pPr>
              <w:adjustRightInd w:val="0"/>
              <w:jc w:val="center"/>
              <w:rPr>
                <w:rFonts w:ascii="宋体" w:hAnsi="宋体" w:cs="宋体" w:hint="eastAsia"/>
                <w:szCs w:val="21"/>
                <w:lang w:val="zh-CN"/>
              </w:rPr>
            </w:pPr>
            <w:r>
              <w:rPr>
                <w:rFonts w:ascii="宋体" w:hAnsi="宋体" w:cs="宋体" w:hint="eastAsia"/>
                <w:szCs w:val="21"/>
                <w:lang w:val="zh-CN"/>
              </w:rPr>
              <w:t>单</w:t>
            </w:r>
            <w:r>
              <w:rPr>
                <w:rFonts w:ascii="宋体" w:hAnsi="宋体" w:cs="宋体" w:hint="eastAsia"/>
                <w:szCs w:val="21"/>
              </w:rPr>
              <w:t>位</w:t>
            </w:r>
          </w:p>
        </w:tc>
        <w:tc>
          <w:tcPr>
            <w:tcW w:w="737" w:type="dxa"/>
            <w:tcBorders>
              <w:top w:val="single" w:sz="4" w:space="0" w:color="auto"/>
              <w:left w:val="single" w:sz="4" w:space="0" w:color="auto"/>
              <w:bottom w:val="single" w:sz="4" w:space="0" w:color="auto"/>
              <w:right w:val="single" w:sz="4" w:space="0" w:color="auto"/>
            </w:tcBorders>
            <w:vAlign w:val="center"/>
          </w:tcPr>
          <w:p>
            <w:pPr>
              <w:adjustRightInd w:val="0"/>
              <w:jc w:val="center"/>
              <w:rPr>
                <w:rFonts w:ascii="宋体" w:hAnsi="宋体" w:cs="宋体" w:hint="eastAsia"/>
                <w:szCs w:val="21"/>
              </w:rPr>
            </w:pPr>
            <w:r>
              <w:rPr>
                <w:rFonts w:ascii="宋体" w:hAnsi="宋体" w:cs="宋体" w:hint="eastAsia"/>
                <w:szCs w:val="21"/>
              </w:rPr>
              <w:t>单价</w:t>
            </w:r>
          </w:p>
        </w:tc>
        <w:tc>
          <w:tcPr>
            <w:tcW w:w="936" w:type="dxa"/>
            <w:tcBorders>
              <w:top w:val="single" w:sz="4" w:space="0" w:color="auto"/>
              <w:left w:val="single" w:sz="4" w:space="0" w:color="auto"/>
              <w:bottom w:val="single" w:sz="4" w:space="0" w:color="auto"/>
              <w:right w:val="single" w:sz="4" w:space="0" w:color="auto"/>
            </w:tcBorders>
            <w:vAlign w:val="center"/>
          </w:tcPr>
          <w:p>
            <w:pPr>
              <w:adjustRightInd w:val="0"/>
              <w:jc w:val="center"/>
              <w:rPr>
                <w:rFonts w:ascii="宋体" w:hAnsi="宋体" w:cs="宋体" w:hint="eastAsia"/>
                <w:szCs w:val="21"/>
                <w:lang w:val="zh-CN"/>
              </w:rPr>
            </w:pPr>
            <w:r>
              <w:rPr>
                <w:rFonts w:ascii="宋体" w:hAnsi="宋体" w:cs="宋体" w:hint="eastAsia"/>
                <w:szCs w:val="21"/>
                <w:lang w:val="zh-CN"/>
              </w:rPr>
              <w:t>总价</w:t>
            </w:r>
          </w:p>
        </w:tc>
        <w:tc>
          <w:tcPr>
            <w:tcW w:w="843" w:type="dxa"/>
            <w:tcBorders>
              <w:top w:val="single" w:sz="4" w:space="0" w:color="auto"/>
              <w:left w:val="single" w:sz="4" w:space="0" w:color="auto"/>
              <w:bottom w:val="single" w:sz="4" w:space="0" w:color="auto"/>
              <w:right w:val="single" w:sz="4" w:space="0" w:color="auto"/>
            </w:tcBorders>
            <w:vAlign w:val="center"/>
          </w:tcPr>
          <w:p>
            <w:pPr>
              <w:adjustRightInd w:val="0"/>
              <w:jc w:val="center"/>
              <w:rPr>
                <w:rFonts w:ascii="宋体" w:hAnsi="宋体" w:cs="宋体" w:hint="eastAsia"/>
                <w:szCs w:val="21"/>
                <w:lang w:val="zh-CN"/>
              </w:rPr>
            </w:pPr>
            <w:r>
              <w:rPr>
                <w:rFonts w:ascii="宋体" w:hAnsi="宋体" w:cs="宋体" w:hint="eastAsia"/>
                <w:szCs w:val="21"/>
                <w:lang w:val="zh-CN"/>
              </w:rPr>
              <w:t>备注</w:t>
            </w:r>
          </w:p>
        </w:tc>
      </w:tr>
      <w:tr>
        <w:tblPrEx>
          <w:tblW w:w="0" w:type="auto"/>
          <w:jc w:val="center"/>
          <w:tblLayout w:type="fixed"/>
          <w:tblCellMar>
            <w:top w:w="0" w:type="dxa"/>
            <w:left w:w="108" w:type="dxa"/>
            <w:bottom w:w="0" w:type="dxa"/>
            <w:right w:w="108" w:type="dxa"/>
          </w:tblCellMar>
          <w:tblLook w:val="0000"/>
        </w:tblPrEx>
        <w:trPr>
          <w:trHeight w:val="454"/>
          <w:jc w:val="center"/>
        </w:trPr>
        <w:tc>
          <w:tcPr>
            <w:tcW w:w="844" w:type="dxa"/>
            <w:tcBorders>
              <w:top w:val="single" w:sz="4" w:space="0" w:color="auto"/>
              <w:left w:val="single" w:sz="4" w:space="0" w:color="auto"/>
              <w:bottom w:val="single" w:sz="4" w:space="0" w:color="auto"/>
              <w:right w:val="single" w:sz="4" w:space="0" w:color="auto"/>
            </w:tcBorders>
            <w:vAlign w:val="center"/>
          </w:tcPr>
          <w:p>
            <w:pPr>
              <w:adjustRightInd w:val="0"/>
              <w:jc w:val="center"/>
              <w:rPr>
                <w:rFonts w:ascii="宋体" w:hAnsi="宋体" w:cs="宋体" w:hint="eastAsia"/>
                <w:szCs w:val="21"/>
                <w:lang w:val="zh-CN"/>
              </w:rPr>
            </w:pPr>
            <w:r>
              <w:rPr>
                <w:rFonts w:ascii="宋体" w:hAnsi="宋体" w:cs="宋体" w:hint="eastAsia"/>
                <w:szCs w:val="21"/>
                <w:lang w:val="zh-CN"/>
              </w:rPr>
              <w:t>1</w:t>
            </w:r>
          </w:p>
        </w:tc>
        <w:tc>
          <w:tcPr>
            <w:tcW w:w="1246" w:type="dxa"/>
            <w:tcBorders>
              <w:top w:val="single" w:sz="4" w:space="0" w:color="auto"/>
              <w:left w:val="single" w:sz="4" w:space="0" w:color="auto"/>
              <w:bottom w:val="single" w:sz="4" w:space="0" w:color="auto"/>
              <w:right w:val="single" w:sz="4" w:space="0" w:color="auto"/>
            </w:tcBorders>
            <w:vAlign w:val="center"/>
          </w:tcPr>
          <w:p>
            <w:pPr>
              <w:tabs>
                <w:tab w:val="left" w:pos="837"/>
              </w:tabs>
              <w:adjustRightInd w:val="0"/>
              <w:jc w:val="center"/>
              <w:rPr>
                <w:rFonts w:ascii="宋体" w:hAnsi="宋体" w:cs="宋体" w:hint="eastAsia"/>
                <w:szCs w:val="21"/>
                <w:lang w:val="zh-CN"/>
              </w:rPr>
            </w:pPr>
          </w:p>
        </w:tc>
        <w:tc>
          <w:tcPr>
            <w:tcW w:w="965" w:type="dxa"/>
            <w:tcBorders>
              <w:top w:val="single" w:sz="4" w:space="0" w:color="auto"/>
              <w:left w:val="single" w:sz="4" w:space="0" w:color="auto"/>
              <w:bottom w:val="single" w:sz="4" w:space="0" w:color="auto"/>
              <w:right w:val="single" w:sz="4" w:space="0" w:color="auto"/>
            </w:tcBorders>
            <w:vAlign w:val="center"/>
          </w:tcPr>
          <w:p>
            <w:pPr>
              <w:tabs>
                <w:tab w:val="left" w:pos="837"/>
              </w:tabs>
              <w:adjustRightInd w:val="0"/>
              <w:jc w:val="center"/>
              <w:rPr>
                <w:rFonts w:ascii="宋体" w:hAnsi="宋体" w:cs="宋体" w:hint="eastAsia"/>
                <w:szCs w:val="21"/>
                <w:lang w:val="zh-CN"/>
              </w:rPr>
            </w:pPr>
          </w:p>
        </w:tc>
        <w:tc>
          <w:tcPr>
            <w:tcW w:w="812" w:type="dxa"/>
            <w:tcBorders>
              <w:top w:val="single" w:sz="4" w:space="0" w:color="auto"/>
              <w:left w:val="single" w:sz="4" w:space="0" w:color="auto"/>
              <w:bottom w:val="single" w:sz="4" w:space="0" w:color="auto"/>
              <w:right w:val="single" w:sz="4" w:space="0" w:color="auto"/>
            </w:tcBorders>
            <w:vAlign w:val="center"/>
          </w:tcPr>
          <w:p>
            <w:pPr>
              <w:adjustRightInd w:val="0"/>
              <w:jc w:val="center"/>
              <w:rPr>
                <w:rFonts w:ascii="宋体" w:hAnsi="宋体" w:cs="宋体" w:hint="eastAsia"/>
                <w:szCs w:val="21"/>
                <w:lang w:val="zh-CN"/>
              </w:rPr>
            </w:pPr>
          </w:p>
        </w:tc>
        <w:tc>
          <w:tcPr>
            <w:tcW w:w="887" w:type="dxa"/>
            <w:gridSpan w:val="2"/>
            <w:tcBorders>
              <w:top w:val="single" w:sz="4" w:space="0" w:color="auto"/>
              <w:left w:val="single" w:sz="4" w:space="0" w:color="auto"/>
              <w:bottom w:val="single" w:sz="4" w:space="0" w:color="auto"/>
              <w:right w:val="single" w:sz="4" w:space="0" w:color="auto"/>
            </w:tcBorders>
            <w:vAlign w:val="center"/>
          </w:tcPr>
          <w:p>
            <w:pPr>
              <w:adjustRightInd w:val="0"/>
              <w:jc w:val="center"/>
              <w:rPr>
                <w:rFonts w:ascii="宋体" w:hAnsi="宋体" w:cs="宋体" w:hint="eastAsia"/>
                <w:szCs w:val="21"/>
                <w:lang w:val="zh-CN"/>
              </w:rPr>
            </w:pPr>
          </w:p>
        </w:tc>
        <w:tc>
          <w:tcPr>
            <w:tcW w:w="1074" w:type="dxa"/>
            <w:tcBorders>
              <w:top w:val="single" w:sz="4" w:space="0" w:color="auto"/>
              <w:left w:val="single" w:sz="4" w:space="0" w:color="auto"/>
              <w:bottom w:val="single" w:sz="4" w:space="0" w:color="auto"/>
              <w:right w:val="single" w:sz="4" w:space="0" w:color="auto"/>
            </w:tcBorders>
            <w:vAlign w:val="center"/>
          </w:tcPr>
          <w:p>
            <w:pPr>
              <w:adjustRightInd w:val="0"/>
              <w:jc w:val="center"/>
              <w:rPr>
                <w:rFonts w:ascii="宋体" w:hAnsi="宋体" w:cs="宋体" w:hint="eastAsia"/>
                <w:szCs w:val="21"/>
                <w:lang w:val="zh-CN"/>
              </w:rPr>
            </w:pPr>
          </w:p>
        </w:tc>
        <w:tc>
          <w:tcPr>
            <w:tcW w:w="649" w:type="dxa"/>
            <w:tcBorders>
              <w:top w:val="single" w:sz="4" w:space="0" w:color="auto"/>
              <w:left w:val="single" w:sz="4" w:space="0" w:color="auto"/>
              <w:bottom w:val="single" w:sz="4" w:space="0" w:color="auto"/>
              <w:right w:val="single" w:sz="4" w:space="0" w:color="auto"/>
            </w:tcBorders>
            <w:vAlign w:val="center"/>
          </w:tcPr>
          <w:p>
            <w:pPr>
              <w:adjustRightInd w:val="0"/>
              <w:jc w:val="center"/>
              <w:rPr>
                <w:rFonts w:ascii="宋体" w:hAnsi="宋体" w:cs="宋体" w:hint="eastAsia"/>
                <w:szCs w:val="21"/>
                <w:lang w:val="zh-CN"/>
              </w:rPr>
            </w:pPr>
          </w:p>
        </w:tc>
        <w:tc>
          <w:tcPr>
            <w:tcW w:w="674" w:type="dxa"/>
            <w:tcBorders>
              <w:top w:val="single" w:sz="4" w:space="0" w:color="auto"/>
              <w:left w:val="single" w:sz="4" w:space="0" w:color="auto"/>
              <w:bottom w:val="single" w:sz="4" w:space="0" w:color="auto"/>
              <w:right w:val="single" w:sz="4" w:space="0" w:color="auto"/>
            </w:tcBorders>
            <w:vAlign w:val="center"/>
          </w:tcPr>
          <w:p>
            <w:pPr>
              <w:adjustRightInd w:val="0"/>
              <w:jc w:val="center"/>
              <w:rPr>
                <w:rFonts w:ascii="宋体" w:hAnsi="宋体" w:cs="宋体" w:hint="eastAsia"/>
                <w:szCs w:val="21"/>
                <w:lang w:val="zh-CN"/>
              </w:rPr>
            </w:pPr>
          </w:p>
        </w:tc>
        <w:tc>
          <w:tcPr>
            <w:tcW w:w="737" w:type="dxa"/>
            <w:tcBorders>
              <w:top w:val="single" w:sz="4" w:space="0" w:color="auto"/>
              <w:left w:val="single" w:sz="4" w:space="0" w:color="auto"/>
              <w:bottom w:val="single" w:sz="4" w:space="0" w:color="auto"/>
              <w:right w:val="single" w:sz="4" w:space="0" w:color="auto"/>
            </w:tcBorders>
            <w:vAlign w:val="center"/>
          </w:tcPr>
          <w:p>
            <w:pPr>
              <w:adjustRightInd w:val="0"/>
              <w:jc w:val="center"/>
              <w:rPr>
                <w:rFonts w:ascii="宋体" w:hAnsi="宋体" w:cs="宋体" w:hint="eastAsia"/>
                <w:szCs w:val="21"/>
                <w:lang w:val="zh-CN"/>
              </w:rPr>
            </w:pPr>
          </w:p>
        </w:tc>
        <w:tc>
          <w:tcPr>
            <w:tcW w:w="936" w:type="dxa"/>
            <w:tcBorders>
              <w:top w:val="single" w:sz="4" w:space="0" w:color="auto"/>
              <w:left w:val="single" w:sz="4" w:space="0" w:color="auto"/>
              <w:bottom w:val="single" w:sz="4" w:space="0" w:color="auto"/>
              <w:right w:val="single" w:sz="4" w:space="0" w:color="auto"/>
            </w:tcBorders>
            <w:vAlign w:val="center"/>
          </w:tcPr>
          <w:p>
            <w:pPr>
              <w:adjustRightInd w:val="0"/>
              <w:jc w:val="center"/>
              <w:rPr>
                <w:rFonts w:ascii="宋体" w:hAnsi="宋体" w:cs="宋体" w:hint="eastAsia"/>
                <w:szCs w:val="21"/>
                <w:lang w:val="zh-CN"/>
              </w:rPr>
            </w:pPr>
          </w:p>
        </w:tc>
        <w:tc>
          <w:tcPr>
            <w:tcW w:w="843" w:type="dxa"/>
            <w:tcBorders>
              <w:top w:val="single" w:sz="4" w:space="0" w:color="auto"/>
              <w:left w:val="single" w:sz="4" w:space="0" w:color="auto"/>
              <w:bottom w:val="single" w:sz="4" w:space="0" w:color="auto"/>
              <w:right w:val="single" w:sz="4" w:space="0" w:color="auto"/>
            </w:tcBorders>
            <w:vAlign w:val="center"/>
          </w:tcPr>
          <w:p>
            <w:pPr>
              <w:adjustRightInd w:val="0"/>
              <w:jc w:val="center"/>
              <w:rPr>
                <w:rFonts w:ascii="宋体" w:hAnsi="宋体" w:cs="宋体" w:hint="eastAsia"/>
                <w:szCs w:val="21"/>
                <w:lang w:val="zh-CN"/>
              </w:rPr>
            </w:pPr>
          </w:p>
        </w:tc>
      </w:tr>
      <w:tr>
        <w:tblPrEx>
          <w:tblW w:w="0" w:type="auto"/>
          <w:jc w:val="center"/>
          <w:tblLayout w:type="fixed"/>
          <w:tblCellMar>
            <w:top w:w="0" w:type="dxa"/>
            <w:left w:w="108" w:type="dxa"/>
            <w:bottom w:w="0" w:type="dxa"/>
            <w:right w:w="108" w:type="dxa"/>
          </w:tblCellMar>
          <w:tblLook w:val="0000"/>
        </w:tblPrEx>
        <w:trPr>
          <w:trHeight w:val="454"/>
          <w:jc w:val="center"/>
        </w:trPr>
        <w:tc>
          <w:tcPr>
            <w:tcW w:w="844" w:type="dxa"/>
            <w:tcBorders>
              <w:top w:val="single" w:sz="4" w:space="0" w:color="auto"/>
              <w:left w:val="single" w:sz="4" w:space="0" w:color="auto"/>
              <w:bottom w:val="single" w:sz="4" w:space="0" w:color="auto"/>
              <w:right w:val="single" w:sz="4" w:space="0" w:color="auto"/>
            </w:tcBorders>
            <w:vAlign w:val="center"/>
          </w:tcPr>
          <w:p>
            <w:pPr>
              <w:adjustRightInd w:val="0"/>
              <w:jc w:val="center"/>
              <w:rPr>
                <w:rFonts w:ascii="宋体" w:hAnsi="宋体" w:cs="宋体" w:hint="eastAsia"/>
                <w:szCs w:val="21"/>
                <w:lang w:val="zh-CN"/>
              </w:rPr>
            </w:pPr>
            <w:r>
              <w:rPr>
                <w:rFonts w:ascii="宋体" w:hAnsi="宋体" w:cs="宋体" w:hint="eastAsia"/>
                <w:szCs w:val="21"/>
                <w:lang w:val="zh-CN"/>
              </w:rPr>
              <w:t>2</w:t>
            </w:r>
          </w:p>
        </w:tc>
        <w:tc>
          <w:tcPr>
            <w:tcW w:w="1246" w:type="dxa"/>
            <w:tcBorders>
              <w:top w:val="single" w:sz="4" w:space="0" w:color="auto"/>
              <w:left w:val="single" w:sz="4" w:space="0" w:color="auto"/>
              <w:bottom w:val="single" w:sz="4" w:space="0" w:color="auto"/>
              <w:right w:val="single" w:sz="4" w:space="0" w:color="auto"/>
            </w:tcBorders>
            <w:vAlign w:val="center"/>
          </w:tcPr>
          <w:p>
            <w:pPr>
              <w:tabs>
                <w:tab w:val="left" w:pos="837"/>
              </w:tabs>
              <w:adjustRightInd w:val="0"/>
              <w:jc w:val="center"/>
              <w:rPr>
                <w:rFonts w:ascii="宋体" w:hAnsi="宋体" w:cs="宋体" w:hint="eastAsia"/>
                <w:szCs w:val="21"/>
              </w:rPr>
            </w:pPr>
          </w:p>
        </w:tc>
        <w:tc>
          <w:tcPr>
            <w:tcW w:w="965" w:type="dxa"/>
            <w:tcBorders>
              <w:top w:val="single" w:sz="4" w:space="0" w:color="auto"/>
              <w:left w:val="single" w:sz="4" w:space="0" w:color="auto"/>
              <w:bottom w:val="single" w:sz="4" w:space="0" w:color="auto"/>
              <w:right w:val="single" w:sz="4" w:space="0" w:color="auto"/>
            </w:tcBorders>
            <w:vAlign w:val="center"/>
          </w:tcPr>
          <w:p>
            <w:pPr>
              <w:tabs>
                <w:tab w:val="left" w:pos="837"/>
              </w:tabs>
              <w:adjustRightInd w:val="0"/>
              <w:jc w:val="center"/>
              <w:rPr>
                <w:rFonts w:ascii="宋体" w:hAnsi="宋体" w:cs="宋体" w:hint="eastAsia"/>
                <w:szCs w:val="21"/>
                <w:lang w:val="zh-CN"/>
              </w:rPr>
            </w:pPr>
          </w:p>
        </w:tc>
        <w:tc>
          <w:tcPr>
            <w:tcW w:w="812" w:type="dxa"/>
            <w:tcBorders>
              <w:top w:val="single" w:sz="4" w:space="0" w:color="auto"/>
              <w:left w:val="single" w:sz="4" w:space="0" w:color="auto"/>
              <w:bottom w:val="single" w:sz="4" w:space="0" w:color="auto"/>
              <w:right w:val="single" w:sz="4" w:space="0" w:color="auto"/>
            </w:tcBorders>
            <w:vAlign w:val="center"/>
          </w:tcPr>
          <w:p>
            <w:pPr>
              <w:adjustRightInd w:val="0"/>
              <w:jc w:val="center"/>
              <w:rPr>
                <w:rFonts w:ascii="宋体" w:hAnsi="宋体" w:cs="宋体" w:hint="eastAsia"/>
                <w:szCs w:val="21"/>
                <w:lang w:val="zh-CN"/>
              </w:rPr>
            </w:pPr>
          </w:p>
        </w:tc>
        <w:tc>
          <w:tcPr>
            <w:tcW w:w="887" w:type="dxa"/>
            <w:gridSpan w:val="2"/>
            <w:tcBorders>
              <w:top w:val="single" w:sz="4" w:space="0" w:color="auto"/>
              <w:left w:val="single" w:sz="4" w:space="0" w:color="auto"/>
              <w:bottom w:val="single" w:sz="4" w:space="0" w:color="auto"/>
              <w:right w:val="single" w:sz="4" w:space="0" w:color="auto"/>
            </w:tcBorders>
            <w:vAlign w:val="center"/>
          </w:tcPr>
          <w:p>
            <w:pPr>
              <w:adjustRightInd w:val="0"/>
              <w:jc w:val="center"/>
              <w:rPr>
                <w:rFonts w:ascii="宋体" w:hAnsi="宋体" w:cs="宋体" w:hint="eastAsia"/>
                <w:szCs w:val="21"/>
                <w:lang w:val="zh-CN"/>
              </w:rPr>
            </w:pPr>
          </w:p>
        </w:tc>
        <w:tc>
          <w:tcPr>
            <w:tcW w:w="1074" w:type="dxa"/>
            <w:tcBorders>
              <w:top w:val="single" w:sz="4" w:space="0" w:color="auto"/>
              <w:left w:val="single" w:sz="4" w:space="0" w:color="auto"/>
              <w:bottom w:val="single" w:sz="4" w:space="0" w:color="auto"/>
              <w:right w:val="single" w:sz="4" w:space="0" w:color="auto"/>
            </w:tcBorders>
            <w:vAlign w:val="center"/>
          </w:tcPr>
          <w:p>
            <w:pPr>
              <w:adjustRightInd w:val="0"/>
              <w:jc w:val="center"/>
              <w:rPr>
                <w:rFonts w:ascii="宋体" w:hAnsi="宋体" w:cs="宋体" w:hint="eastAsia"/>
                <w:szCs w:val="21"/>
                <w:lang w:val="zh-CN"/>
              </w:rPr>
            </w:pPr>
          </w:p>
        </w:tc>
        <w:tc>
          <w:tcPr>
            <w:tcW w:w="649" w:type="dxa"/>
            <w:tcBorders>
              <w:top w:val="single" w:sz="4" w:space="0" w:color="auto"/>
              <w:left w:val="single" w:sz="4" w:space="0" w:color="auto"/>
              <w:bottom w:val="single" w:sz="4" w:space="0" w:color="auto"/>
              <w:right w:val="single" w:sz="4" w:space="0" w:color="auto"/>
            </w:tcBorders>
            <w:vAlign w:val="center"/>
          </w:tcPr>
          <w:p>
            <w:pPr>
              <w:adjustRightInd w:val="0"/>
              <w:jc w:val="center"/>
              <w:rPr>
                <w:rFonts w:ascii="宋体" w:hAnsi="宋体" w:cs="宋体" w:hint="eastAsia"/>
                <w:szCs w:val="21"/>
                <w:lang w:val="zh-CN"/>
              </w:rPr>
            </w:pPr>
          </w:p>
        </w:tc>
        <w:tc>
          <w:tcPr>
            <w:tcW w:w="674" w:type="dxa"/>
            <w:tcBorders>
              <w:top w:val="single" w:sz="4" w:space="0" w:color="auto"/>
              <w:left w:val="single" w:sz="4" w:space="0" w:color="auto"/>
              <w:bottom w:val="single" w:sz="4" w:space="0" w:color="auto"/>
              <w:right w:val="single" w:sz="4" w:space="0" w:color="auto"/>
            </w:tcBorders>
            <w:vAlign w:val="center"/>
          </w:tcPr>
          <w:p>
            <w:pPr>
              <w:adjustRightInd w:val="0"/>
              <w:jc w:val="center"/>
              <w:rPr>
                <w:rFonts w:ascii="宋体" w:hAnsi="宋体" w:cs="宋体" w:hint="eastAsia"/>
                <w:szCs w:val="21"/>
                <w:lang w:val="zh-CN"/>
              </w:rPr>
            </w:pPr>
          </w:p>
        </w:tc>
        <w:tc>
          <w:tcPr>
            <w:tcW w:w="737" w:type="dxa"/>
            <w:tcBorders>
              <w:top w:val="single" w:sz="4" w:space="0" w:color="auto"/>
              <w:left w:val="single" w:sz="4" w:space="0" w:color="auto"/>
              <w:bottom w:val="single" w:sz="4" w:space="0" w:color="auto"/>
              <w:right w:val="single" w:sz="4" w:space="0" w:color="auto"/>
            </w:tcBorders>
            <w:vAlign w:val="center"/>
          </w:tcPr>
          <w:p>
            <w:pPr>
              <w:adjustRightInd w:val="0"/>
              <w:jc w:val="center"/>
              <w:rPr>
                <w:rFonts w:ascii="宋体" w:hAnsi="宋体" w:cs="宋体" w:hint="eastAsia"/>
                <w:szCs w:val="21"/>
                <w:lang w:val="zh-CN"/>
              </w:rPr>
            </w:pPr>
          </w:p>
        </w:tc>
        <w:tc>
          <w:tcPr>
            <w:tcW w:w="936" w:type="dxa"/>
            <w:tcBorders>
              <w:top w:val="single" w:sz="4" w:space="0" w:color="auto"/>
              <w:left w:val="single" w:sz="4" w:space="0" w:color="auto"/>
              <w:bottom w:val="single" w:sz="4" w:space="0" w:color="auto"/>
              <w:right w:val="single" w:sz="4" w:space="0" w:color="auto"/>
            </w:tcBorders>
            <w:vAlign w:val="center"/>
          </w:tcPr>
          <w:p>
            <w:pPr>
              <w:adjustRightInd w:val="0"/>
              <w:jc w:val="center"/>
              <w:rPr>
                <w:rFonts w:ascii="宋体" w:hAnsi="宋体" w:cs="宋体" w:hint="eastAsia"/>
                <w:szCs w:val="21"/>
                <w:lang w:val="zh-CN"/>
              </w:rPr>
            </w:pPr>
          </w:p>
        </w:tc>
        <w:tc>
          <w:tcPr>
            <w:tcW w:w="843" w:type="dxa"/>
            <w:tcBorders>
              <w:top w:val="single" w:sz="4" w:space="0" w:color="auto"/>
              <w:left w:val="single" w:sz="4" w:space="0" w:color="auto"/>
              <w:bottom w:val="single" w:sz="4" w:space="0" w:color="auto"/>
              <w:right w:val="single" w:sz="4" w:space="0" w:color="auto"/>
            </w:tcBorders>
            <w:vAlign w:val="center"/>
          </w:tcPr>
          <w:p>
            <w:pPr>
              <w:adjustRightInd w:val="0"/>
              <w:jc w:val="center"/>
              <w:rPr>
                <w:rFonts w:ascii="宋体" w:hAnsi="宋体" w:cs="宋体" w:hint="eastAsia"/>
                <w:szCs w:val="21"/>
                <w:lang w:val="zh-CN"/>
              </w:rPr>
            </w:pPr>
          </w:p>
        </w:tc>
      </w:tr>
      <w:tr>
        <w:tblPrEx>
          <w:tblW w:w="0" w:type="auto"/>
          <w:jc w:val="center"/>
          <w:tblLayout w:type="fixed"/>
          <w:tblCellMar>
            <w:top w:w="0" w:type="dxa"/>
            <w:left w:w="108" w:type="dxa"/>
            <w:bottom w:w="0" w:type="dxa"/>
            <w:right w:w="108" w:type="dxa"/>
          </w:tblCellMar>
          <w:tblLook w:val="0000"/>
        </w:tblPrEx>
        <w:trPr>
          <w:trHeight w:val="454"/>
          <w:jc w:val="center"/>
        </w:trPr>
        <w:tc>
          <w:tcPr>
            <w:tcW w:w="844" w:type="dxa"/>
            <w:tcBorders>
              <w:top w:val="single" w:sz="4" w:space="0" w:color="auto"/>
              <w:left w:val="single" w:sz="4" w:space="0" w:color="auto"/>
              <w:bottom w:val="single" w:sz="4" w:space="0" w:color="auto"/>
              <w:right w:val="single" w:sz="4" w:space="0" w:color="auto"/>
            </w:tcBorders>
            <w:vAlign w:val="center"/>
          </w:tcPr>
          <w:p>
            <w:pPr>
              <w:adjustRightInd w:val="0"/>
              <w:jc w:val="center"/>
              <w:rPr>
                <w:rFonts w:ascii="宋体" w:hAnsi="宋体" w:cs="宋体" w:hint="eastAsia"/>
                <w:szCs w:val="21"/>
              </w:rPr>
            </w:pPr>
            <w:r>
              <w:rPr>
                <w:rFonts w:ascii="宋体" w:hAnsi="宋体" w:cs="宋体" w:hint="eastAsia"/>
                <w:szCs w:val="21"/>
              </w:rPr>
              <w:t>...</w:t>
            </w:r>
          </w:p>
        </w:tc>
        <w:tc>
          <w:tcPr>
            <w:tcW w:w="1246" w:type="dxa"/>
            <w:tcBorders>
              <w:top w:val="single" w:sz="4" w:space="0" w:color="auto"/>
              <w:left w:val="single" w:sz="4" w:space="0" w:color="auto"/>
              <w:bottom w:val="single" w:sz="4" w:space="0" w:color="auto"/>
              <w:right w:val="single" w:sz="4" w:space="0" w:color="auto"/>
            </w:tcBorders>
            <w:vAlign w:val="center"/>
          </w:tcPr>
          <w:p>
            <w:pPr>
              <w:tabs>
                <w:tab w:val="left" w:pos="837"/>
              </w:tabs>
              <w:adjustRightInd w:val="0"/>
              <w:jc w:val="center"/>
              <w:rPr>
                <w:rFonts w:ascii="宋体" w:hAnsi="宋体" w:cs="宋体" w:hint="eastAsia"/>
                <w:szCs w:val="21"/>
              </w:rPr>
            </w:pPr>
          </w:p>
        </w:tc>
        <w:tc>
          <w:tcPr>
            <w:tcW w:w="965" w:type="dxa"/>
            <w:tcBorders>
              <w:top w:val="single" w:sz="4" w:space="0" w:color="auto"/>
              <w:left w:val="single" w:sz="4" w:space="0" w:color="auto"/>
              <w:bottom w:val="single" w:sz="4" w:space="0" w:color="auto"/>
              <w:right w:val="single" w:sz="4" w:space="0" w:color="auto"/>
            </w:tcBorders>
            <w:vAlign w:val="center"/>
          </w:tcPr>
          <w:p>
            <w:pPr>
              <w:tabs>
                <w:tab w:val="left" w:pos="837"/>
              </w:tabs>
              <w:adjustRightInd w:val="0"/>
              <w:jc w:val="center"/>
              <w:rPr>
                <w:rFonts w:ascii="宋体" w:hAnsi="宋体" w:cs="宋体" w:hint="eastAsia"/>
                <w:szCs w:val="21"/>
                <w:lang w:val="zh-CN"/>
              </w:rPr>
            </w:pPr>
          </w:p>
        </w:tc>
        <w:tc>
          <w:tcPr>
            <w:tcW w:w="812" w:type="dxa"/>
            <w:tcBorders>
              <w:top w:val="single" w:sz="4" w:space="0" w:color="auto"/>
              <w:left w:val="single" w:sz="4" w:space="0" w:color="auto"/>
              <w:bottom w:val="single" w:sz="4" w:space="0" w:color="auto"/>
              <w:right w:val="single" w:sz="4" w:space="0" w:color="auto"/>
            </w:tcBorders>
            <w:vAlign w:val="center"/>
          </w:tcPr>
          <w:p>
            <w:pPr>
              <w:adjustRightInd w:val="0"/>
              <w:jc w:val="center"/>
              <w:rPr>
                <w:rFonts w:ascii="宋体" w:hAnsi="宋体" w:cs="宋体" w:hint="eastAsia"/>
                <w:szCs w:val="21"/>
                <w:lang w:val="zh-CN"/>
              </w:rPr>
            </w:pPr>
          </w:p>
        </w:tc>
        <w:tc>
          <w:tcPr>
            <w:tcW w:w="887" w:type="dxa"/>
            <w:gridSpan w:val="2"/>
            <w:tcBorders>
              <w:top w:val="single" w:sz="4" w:space="0" w:color="auto"/>
              <w:left w:val="single" w:sz="4" w:space="0" w:color="auto"/>
              <w:bottom w:val="single" w:sz="4" w:space="0" w:color="auto"/>
              <w:right w:val="single" w:sz="4" w:space="0" w:color="auto"/>
            </w:tcBorders>
            <w:vAlign w:val="center"/>
          </w:tcPr>
          <w:p>
            <w:pPr>
              <w:adjustRightInd w:val="0"/>
              <w:jc w:val="center"/>
              <w:rPr>
                <w:rFonts w:ascii="宋体" w:hAnsi="宋体" w:cs="宋体" w:hint="eastAsia"/>
                <w:szCs w:val="21"/>
                <w:lang w:val="zh-CN"/>
              </w:rPr>
            </w:pPr>
          </w:p>
        </w:tc>
        <w:tc>
          <w:tcPr>
            <w:tcW w:w="1074" w:type="dxa"/>
            <w:tcBorders>
              <w:top w:val="single" w:sz="4" w:space="0" w:color="auto"/>
              <w:left w:val="single" w:sz="4" w:space="0" w:color="auto"/>
              <w:bottom w:val="single" w:sz="4" w:space="0" w:color="auto"/>
              <w:right w:val="single" w:sz="4" w:space="0" w:color="auto"/>
            </w:tcBorders>
            <w:vAlign w:val="center"/>
          </w:tcPr>
          <w:p>
            <w:pPr>
              <w:adjustRightInd w:val="0"/>
              <w:jc w:val="center"/>
              <w:rPr>
                <w:rFonts w:ascii="宋体" w:hAnsi="宋体" w:cs="宋体" w:hint="eastAsia"/>
                <w:szCs w:val="21"/>
                <w:lang w:val="zh-CN"/>
              </w:rPr>
            </w:pPr>
          </w:p>
        </w:tc>
        <w:tc>
          <w:tcPr>
            <w:tcW w:w="649" w:type="dxa"/>
            <w:tcBorders>
              <w:top w:val="single" w:sz="4" w:space="0" w:color="auto"/>
              <w:left w:val="single" w:sz="4" w:space="0" w:color="auto"/>
              <w:bottom w:val="single" w:sz="4" w:space="0" w:color="auto"/>
              <w:right w:val="single" w:sz="4" w:space="0" w:color="auto"/>
            </w:tcBorders>
            <w:vAlign w:val="center"/>
          </w:tcPr>
          <w:p>
            <w:pPr>
              <w:adjustRightInd w:val="0"/>
              <w:jc w:val="center"/>
              <w:rPr>
                <w:rFonts w:ascii="宋体" w:hAnsi="宋体" w:cs="宋体" w:hint="eastAsia"/>
                <w:szCs w:val="21"/>
                <w:lang w:val="zh-CN"/>
              </w:rPr>
            </w:pPr>
          </w:p>
        </w:tc>
        <w:tc>
          <w:tcPr>
            <w:tcW w:w="674" w:type="dxa"/>
            <w:tcBorders>
              <w:top w:val="single" w:sz="4" w:space="0" w:color="auto"/>
              <w:left w:val="single" w:sz="4" w:space="0" w:color="auto"/>
              <w:bottom w:val="single" w:sz="4" w:space="0" w:color="auto"/>
              <w:right w:val="single" w:sz="4" w:space="0" w:color="auto"/>
            </w:tcBorders>
            <w:vAlign w:val="center"/>
          </w:tcPr>
          <w:p>
            <w:pPr>
              <w:adjustRightInd w:val="0"/>
              <w:jc w:val="center"/>
              <w:rPr>
                <w:rFonts w:ascii="宋体" w:hAnsi="宋体" w:cs="宋体" w:hint="eastAsia"/>
                <w:szCs w:val="21"/>
                <w:lang w:val="zh-CN"/>
              </w:rPr>
            </w:pPr>
          </w:p>
        </w:tc>
        <w:tc>
          <w:tcPr>
            <w:tcW w:w="737" w:type="dxa"/>
            <w:tcBorders>
              <w:top w:val="single" w:sz="4" w:space="0" w:color="auto"/>
              <w:left w:val="single" w:sz="4" w:space="0" w:color="auto"/>
              <w:bottom w:val="single" w:sz="4" w:space="0" w:color="auto"/>
              <w:right w:val="single" w:sz="4" w:space="0" w:color="auto"/>
            </w:tcBorders>
            <w:vAlign w:val="center"/>
          </w:tcPr>
          <w:p>
            <w:pPr>
              <w:adjustRightInd w:val="0"/>
              <w:jc w:val="center"/>
              <w:rPr>
                <w:rFonts w:ascii="宋体" w:hAnsi="宋体" w:cs="宋体" w:hint="eastAsia"/>
                <w:szCs w:val="21"/>
                <w:lang w:val="zh-CN"/>
              </w:rPr>
            </w:pPr>
          </w:p>
        </w:tc>
        <w:tc>
          <w:tcPr>
            <w:tcW w:w="936" w:type="dxa"/>
            <w:tcBorders>
              <w:top w:val="single" w:sz="4" w:space="0" w:color="auto"/>
              <w:left w:val="single" w:sz="4" w:space="0" w:color="auto"/>
              <w:bottom w:val="single" w:sz="4" w:space="0" w:color="auto"/>
              <w:right w:val="single" w:sz="4" w:space="0" w:color="auto"/>
            </w:tcBorders>
            <w:vAlign w:val="center"/>
          </w:tcPr>
          <w:p>
            <w:pPr>
              <w:adjustRightInd w:val="0"/>
              <w:jc w:val="center"/>
              <w:rPr>
                <w:rFonts w:ascii="宋体" w:hAnsi="宋体" w:cs="宋体" w:hint="eastAsia"/>
                <w:szCs w:val="21"/>
                <w:lang w:val="zh-CN"/>
              </w:rPr>
            </w:pPr>
          </w:p>
        </w:tc>
        <w:tc>
          <w:tcPr>
            <w:tcW w:w="843" w:type="dxa"/>
            <w:tcBorders>
              <w:top w:val="single" w:sz="4" w:space="0" w:color="auto"/>
              <w:left w:val="single" w:sz="4" w:space="0" w:color="auto"/>
              <w:bottom w:val="single" w:sz="4" w:space="0" w:color="auto"/>
              <w:right w:val="single" w:sz="4" w:space="0" w:color="auto"/>
            </w:tcBorders>
            <w:vAlign w:val="center"/>
          </w:tcPr>
          <w:p>
            <w:pPr>
              <w:adjustRightInd w:val="0"/>
              <w:jc w:val="center"/>
              <w:rPr>
                <w:rFonts w:ascii="宋体" w:hAnsi="宋体" w:cs="宋体" w:hint="eastAsia"/>
                <w:szCs w:val="21"/>
                <w:lang w:val="zh-CN"/>
              </w:rPr>
            </w:pPr>
          </w:p>
        </w:tc>
      </w:tr>
      <w:tr>
        <w:tblPrEx>
          <w:tblW w:w="0" w:type="auto"/>
          <w:jc w:val="center"/>
          <w:tblLayout w:type="fixed"/>
          <w:tblCellMar>
            <w:top w:w="0" w:type="dxa"/>
            <w:left w:w="108" w:type="dxa"/>
            <w:bottom w:w="0" w:type="dxa"/>
            <w:right w:w="108" w:type="dxa"/>
          </w:tblCellMar>
          <w:tblLook w:val="0000"/>
        </w:tblPrEx>
        <w:trPr>
          <w:trHeight w:val="454"/>
          <w:jc w:val="center"/>
        </w:trPr>
        <w:tc>
          <w:tcPr>
            <w:tcW w:w="844" w:type="dxa"/>
            <w:tcBorders>
              <w:top w:val="single" w:sz="4" w:space="0" w:color="auto"/>
              <w:left w:val="single" w:sz="4" w:space="0" w:color="auto"/>
              <w:bottom w:val="single" w:sz="4" w:space="0" w:color="auto"/>
              <w:right w:val="single" w:sz="4" w:space="0" w:color="auto"/>
            </w:tcBorders>
            <w:vAlign w:val="center"/>
          </w:tcPr>
          <w:p>
            <w:pPr>
              <w:adjustRightInd w:val="0"/>
              <w:jc w:val="center"/>
              <w:rPr>
                <w:rFonts w:ascii="宋体" w:hAnsi="宋体" w:cs="宋体" w:hint="eastAsia"/>
                <w:szCs w:val="21"/>
                <w:lang w:val="zh-CN"/>
              </w:rPr>
            </w:pPr>
            <w:r>
              <w:rPr>
                <w:rFonts w:ascii="宋体" w:hAnsi="宋体" w:cs="宋体" w:hint="eastAsia"/>
                <w:szCs w:val="21"/>
              </w:rPr>
              <w:t>...</w:t>
            </w:r>
          </w:p>
        </w:tc>
        <w:tc>
          <w:tcPr>
            <w:tcW w:w="4984" w:type="dxa"/>
            <w:gridSpan w:val="6"/>
            <w:tcBorders>
              <w:top w:val="single" w:sz="4" w:space="0" w:color="auto"/>
              <w:left w:val="single" w:sz="4" w:space="0" w:color="auto"/>
              <w:bottom w:val="single" w:sz="4" w:space="0" w:color="auto"/>
              <w:right w:val="single" w:sz="4" w:space="0" w:color="auto"/>
            </w:tcBorders>
            <w:vAlign w:val="center"/>
          </w:tcPr>
          <w:p>
            <w:pPr>
              <w:tabs>
                <w:tab w:val="left" w:pos="837"/>
              </w:tabs>
              <w:adjustRightInd w:val="0"/>
              <w:jc w:val="center"/>
              <w:rPr>
                <w:rFonts w:ascii="宋体" w:hAnsi="宋体" w:cs="宋体" w:hint="eastAsia"/>
                <w:szCs w:val="21"/>
                <w:lang w:val="zh-CN"/>
              </w:rPr>
            </w:pPr>
            <w:r>
              <w:rPr>
                <w:rFonts w:ascii="宋体" w:hAnsi="宋体" w:cs="宋体" w:hint="eastAsia"/>
                <w:szCs w:val="21"/>
              </w:rPr>
              <w:t>(</w:t>
            </w:r>
            <w:r>
              <w:rPr>
                <w:rFonts w:ascii="宋体" w:hAnsi="宋体" w:cs="宋体" w:hint="eastAsia"/>
                <w:szCs w:val="21"/>
                <w:lang w:val="zh-CN"/>
              </w:rPr>
              <w:t>以上各项单价含备品备件、专用工具、安装、调试、检验、培训、技术服务、</w:t>
            </w:r>
            <w:r>
              <w:rPr>
                <w:rFonts w:ascii="宋体" w:hAnsi="宋体" w:cs="宋体" w:hint="eastAsia"/>
                <w:szCs w:val="21"/>
              </w:rPr>
              <w:t>税费等</w:t>
            </w:r>
            <w:r>
              <w:rPr>
                <w:rFonts w:ascii="宋体" w:hAnsi="宋体" w:cs="宋体" w:hint="eastAsia"/>
                <w:szCs w:val="21"/>
                <w:lang w:val="zh-CN"/>
              </w:rPr>
              <w:t>）</w:t>
            </w:r>
          </w:p>
        </w:tc>
        <w:tc>
          <w:tcPr>
            <w:tcW w:w="649" w:type="dxa"/>
            <w:tcBorders>
              <w:top w:val="single" w:sz="4" w:space="0" w:color="auto"/>
              <w:left w:val="single" w:sz="4" w:space="0" w:color="auto"/>
              <w:bottom w:val="single" w:sz="4" w:space="0" w:color="auto"/>
              <w:right w:val="single" w:sz="4" w:space="0" w:color="auto"/>
            </w:tcBorders>
            <w:vAlign w:val="center"/>
          </w:tcPr>
          <w:p>
            <w:pPr>
              <w:adjustRightInd w:val="0"/>
              <w:jc w:val="center"/>
              <w:rPr>
                <w:rFonts w:ascii="宋体" w:hAnsi="宋体" w:cs="宋体" w:hint="eastAsia"/>
                <w:szCs w:val="21"/>
                <w:lang w:val="zh-CN"/>
              </w:rPr>
            </w:pPr>
          </w:p>
        </w:tc>
        <w:tc>
          <w:tcPr>
            <w:tcW w:w="674" w:type="dxa"/>
            <w:tcBorders>
              <w:top w:val="single" w:sz="4" w:space="0" w:color="auto"/>
              <w:left w:val="single" w:sz="4" w:space="0" w:color="auto"/>
              <w:bottom w:val="single" w:sz="4" w:space="0" w:color="auto"/>
              <w:right w:val="single" w:sz="4" w:space="0" w:color="auto"/>
            </w:tcBorders>
            <w:vAlign w:val="center"/>
          </w:tcPr>
          <w:p>
            <w:pPr>
              <w:adjustRightInd w:val="0"/>
              <w:jc w:val="center"/>
              <w:rPr>
                <w:rFonts w:ascii="宋体" w:hAnsi="宋体" w:cs="宋体" w:hint="eastAsia"/>
                <w:szCs w:val="21"/>
                <w:lang w:val="zh-CN"/>
              </w:rPr>
            </w:pPr>
          </w:p>
        </w:tc>
        <w:tc>
          <w:tcPr>
            <w:tcW w:w="737" w:type="dxa"/>
            <w:tcBorders>
              <w:top w:val="single" w:sz="4" w:space="0" w:color="auto"/>
              <w:left w:val="single" w:sz="4" w:space="0" w:color="auto"/>
              <w:bottom w:val="single" w:sz="4" w:space="0" w:color="auto"/>
              <w:right w:val="single" w:sz="4" w:space="0" w:color="auto"/>
            </w:tcBorders>
            <w:vAlign w:val="center"/>
          </w:tcPr>
          <w:p>
            <w:pPr>
              <w:adjustRightInd w:val="0"/>
              <w:jc w:val="center"/>
              <w:rPr>
                <w:rFonts w:ascii="宋体" w:hAnsi="宋体" w:cs="宋体" w:hint="eastAsia"/>
                <w:szCs w:val="21"/>
                <w:lang w:val="zh-CN"/>
              </w:rPr>
            </w:pPr>
          </w:p>
        </w:tc>
        <w:tc>
          <w:tcPr>
            <w:tcW w:w="936" w:type="dxa"/>
            <w:tcBorders>
              <w:top w:val="single" w:sz="4" w:space="0" w:color="auto"/>
              <w:left w:val="single" w:sz="4" w:space="0" w:color="auto"/>
              <w:bottom w:val="single" w:sz="4" w:space="0" w:color="auto"/>
              <w:right w:val="single" w:sz="4" w:space="0" w:color="auto"/>
            </w:tcBorders>
            <w:vAlign w:val="center"/>
          </w:tcPr>
          <w:p>
            <w:pPr>
              <w:adjustRightInd w:val="0"/>
              <w:jc w:val="center"/>
              <w:rPr>
                <w:rFonts w:ascii="宋体" w:hAnsi="宋体" w:cs="宋体" w:hint="eastAsia"/>
                <w:szCs w:val="21"/>
                <w:lang w:val="zh-CN"/>
              </w:rPr>
            </w:pPr>
          </w:p>
        </w:tc>
        <w:tc>
          <w:tcPr>
            <w:tcW w:w="843" w:type="dxa"/>
            <w:tcBorders>
              <w:top w:val="single" w:sz="4" w:space="0" w:color="auto"/>
              <w:left w:val="single" w:sz="4" w:space="0" w:color="auto"/>
              <w:bottom w:val="single" w:sz="4" w:space="0" w:color="auto"/>
              <w:right w:val="single" w:sz="4" w:space="0" w:color="auto"/>
            </w:tcBorders>
            <w:vAlign w:val="center"/>
          </w:tcPr>
          <w:p>
            <w:pPr>
              <w:adjustRightInd w:val="0"/>
              <w:jc w:val="center"/>
              <w:rPr>
                <w:rFonts w:ascii="宋体" w:hAnsi="宋体" w:cs="宋体" w:hint="eastAsia"/>
                <w:szCs w:val="21"/>
                <w:lang w:val="zh-CN"/>
              </w:rPr>
            </w:pPr>
          </w:p>
        </w:tc>
      </w:tr>
      <w:tr>
        <w:tblPrEx>
          <w:tblW w:w="0" w:type="auto"/>
          <w:jc w:val="center"/>
          <w:tblLayout w:type="fixed"/>
          <w:tblCellMar>
            <w:top w:w="0" w:type="dxa"/>
            <w:left w:w="108" w:type="dxa"/>
            <w:bottom w:w="0" w:type="dxa"/>
            <w:right w:w="108" w:type="dxa"/>
          </w:tblCellMar>
          <w:tblLook w:val="0000"/>
        </w:tblPrEx>
        <w:trPr>
          <w:trHeight w:val="454"/>
          <w:jc w:val="center"/>
        </w:trPr>
        <w:tc>
          <w:tcPr>
            <w:tcW w:w="844" w:type="dxa"/>
            <w:tcBorders>
              <w:top w:val="single" w:sz="4" w:space="0" w:color="auto"/>
              <w:left w:val="single" w:sz="4" w:space="0" w:color="auto"/>
              <w:bottom w:val="single" w:sz="4" w:space="0" w:color="auto"/>
              <w:right w:val="single" w:sz="4" w:space="0" w:color="auto"/>
            </w:tcBorders>
            <w:vAlign w:val="center"/>
          </w:tcPr>
          <w:p>
            <w:pPr>
              <w:adjustRightInd w:val="0"/>
              <w:jc w:val="center"/>
              <w:rPr>
                <w:rFonts w:ascii="宋体" w:hAnsi="宋体" w:cs="宋体" w:hint="eastAsia"/>
                <w:szCs w:val="21"/>
                <w:lang w:val="zh-CN"/>
              </w:rPr>
            </w:pPr>
            <w:r>
              <w:rPr>
                <w:rFonts w:ascii="宋体" w:hAnsi="宋体" w:cs="宋体" w:hint="eastAsia"/>
                <w:szCs w:val="21"/>
              </w:rPr>
              <w:t>...</w:t>
            </w:r>
          </w:p>
        </w:tc>
        <w:tc>
          <w:tcPr>
            <w:tcW w:w="4984" w:type="dxa"/>
            <w:gridSpan w:val="6"/>
            <w:tcBorders>
              <w:top w:val="single" w:sz="4" w:space="0" w:color="auto"/>
              <w:left w:val="single" w:sz="4" w:space="0" w:color="auto"/>
              <w:bottom w:val="single" w:sz="4" w:space="0" w:color="auto"/>
              <w:right w:val="single" w:sz="4" w:space="0" w:color="auto"/>
            </w:tcBorders>
            <w:vAlign w:val="center"/>
          </w:tcPr>
          <w:p>
            <w:pPr>
              <w:adjustRightInd w:val="0"/>
              <w:jc w:val="center"/>
              <w:rPr>
                <w:rFonts w:ascii="宋体" w:hAnsi="宋体" w:cs="宋体" w:hint="eastAsia"/>
                <w:szCs w:val="21"/>
                <w:lang w:val="zh-CN"/>
              </w:rPr>
            </w:pPr>
            <w:r>
              <w:rPr>
                <w:rFonts w:ascii="宋体" w:hAnsi="宋体" w:cs="宋体" w:hint="eastAsia"/>
                <w:szCs w:val="21"/>
              </w:rPr>
              <w:t>...</w:t>
            </w:r>
          </w:p>
        </w:tc>
        <w:tc>
          <w:tcPr>
            <w:tcW w:w="649" w:type="dxa"/>
            <w:tcBorders>
              <w:top w:val="single" w:sz="4" w:space="0" w:color="auto"/>
              <w:left w:val="single" w:sz="4" w:space="0" w:color="auto"/>
              <w:bottom w:val="single" w:sz="4" w:space="0" w:color="auto"/>
              <w:right w:val="single" w:sz="4" w:space="0" w:color="auto"/>
            </w:tcBorders>
            <w:vAlign w:val="center"/>
          </w:tcPr>
          <w:p>
            <w:pPr>
              <w:adjustRightInd w:val="0"/>
              <w:jc w:val="center"/>
              <w:rPr>
                <w:rFonts w:ascii="宋体" w:hAnsi="宋体" w:cs="宋体" w:hint="eastAsia"/>
                <w:szCs w:val="21"/>
                <w:lang w:val="zh-CN"/>
              </w:rPr>
            </w:pPr>
          </w:p>
        </w:tc>
        <w:tc>
          <w:tcPr>
            <w:tcW w:w="674" w:type="dxa"/>
            <w:tcBorders>
              <w:top w:val="single" w:sz="4" w:space="0" w:color="auto"/>
              <w:left w:val="single" w:sz="4" w:space="0" w:color="auto"/>
              <w:bottom w:val="single" w:sz="4" w:space="0" w:color="auto"/>
              <w:right w:val="single" w:sz="4" w:space="0" w:color="auto"/>
            </w:tcBorders>
            <w:vAlign w:val="center"/>
          </w:tcPr>
          <w:p>
            <w:pPr>
              <w:adjustRightInd w:val="0"/>
              <w:jc w:val="center"/>
              <w:rPr>
                <w:rFonts w:ascii="宋体" w:hAnsi="宋体" w:cs="宋体" w:hint="eastAsia"/>
                <w:szCs w:val="21"/>
                <w:lang w:val="zh-CN"/>
              </w:rPr>
            </w:pPr>
          </w:p>
        </w:tc>
        <w:tc>
          <w:tcPr>
            <w:tcW w:w="737" w:type="dxa"/>
            <w:tcBorders>
              <w:top w:val="single" w:sz="4" w:space="0" w:color="auto"/>
              <w:left w:val="single" w:sz="4" w:space="0" w:color="auto"/>
              <w:bottom w:val="single" w:sz="4" w:space="0" w:color="auto"/>
              <w:right w:val="single" w:sz="4" w:space="0" w:color="auto"/>
            </w:tcBorders>
            <w:vAlign w:val="center"/>
          </w:tcPr>
          <w:p>
            <w:pPr>
              <w:adjustRightInd w:val="0"/>
              <w:jc w:val="center"/>
              <w:rPr>
                <w:rFonts w:ascii="宋体" w:hAnsi="宋体" w:cs="宋体" w:hint="eastAsia"/>
                <w:szCs w:val="21"/>
                <w:lang w:val="zh-CN"/>
              </w:rPr>
            </w:pPr>
          </w:p>
        </w:tc>
        <w:tc>
          <w:tcPr>
            <w:tcW w:w="936" w:type="dxa"/>
            <w:tcBorders>
              <w:top w:val="single" w:sz="4" w:space="0" w:color="auto"/>
              <w:left w:val="single" w:sz="4" w:space="0" w:color="auto"/>
              <w:bottom w:val="single" w:sz="4" w:space="0" w:color="auto"/>
              <w:right w:val="single" w:sz="4" w:space="0" w:color="auto"/>
            </w:tcBorders>
            <w:vAlign w:val="center"/>
          </w:tcPr>
          <w:p>
            <w:pPr>
              <w:adjustRightInd w:val="0"/>
              <w:jc w:val="center"/>
              <w:rPr>
                <w:rFonts w:ascii="宋体" w:hAnsi="宋体" w:cs="宋体" w:hint="eastAsia"/>
                <w:szCs w:val="21"/>
                <w:lang w:val="zh-CN"/>
              </w:rPr>
            </w:pPr>
          </w:p>
        </w:tc>
        <w:tc>
          <w:tcPr>
            <w:tcW w:w="843" w:type="dxa"/>
            <w:tcBorders>
              <w:top w:val="single" w:sz="4" w:space="0" w:color="auto"/>
              <w:left w:val="single" w:sz="4" w:space="0" w:color="auto"/>
              <w:bottom w:val="single" w:sz="4" w:space="0" w:color="auto"/>
              <w:right w:val="single" w:sz="4" w:space="0" w:color="auto"/>
            </w:tcBorders>
            <w:vAlign w:val="center"/>
          </w:tcPr>
          <w:p>
            <w:pPr>
              <w:adjustRightInd w:val="0"/>
              <w:jc w:val="center"/>
              <w:rPr>
                <w:rFonts w:ascii="宋体" w:hAnsi="宋体" w:cs="宋体" w:hint="eastAsia"/>
                <w:szCs w:val="21"/>
                <w:lang w:val="zh-CN"/>
              </w:rPr>
            </w:pPr>
          </w:p>
        </w:tc>
      </w:tr>
      <w:tr>
        <w:tblPrEx>
          <w:tblW w:w="0" w:type="auto"/>
          <w:jc w:val="center"/>
          <w:tblLayout w:type="fixed"/>
          <w:tblCellMar>
            <w:top w:w="0" w:type="dxa"/>
            <w:left w:w="108" w:type="dxa"/>
            <w:bottom w:w="0" w:type="dxa"/>
            <w:right w:w="108" w:type="dxa"/>
          </w:tblCellMar>
          <w:tblLook w:val="0000"/>
        </w:tblPrEx>
        <w:trPr>
          <w:trHeight w:val="454"/>
          <w:jc w:val="center"/>
        </w:trPr>
        <w:tc>
          <w:tcPr>
            <w:tcW w:w="844" w:type="dxa"/>
            <w:tcBorders>
              <w:top w:val="single" w:sz="4" w:space="0" w:color="auto"/>
              <w:left w:val="single" w:sz="4" w:space="0" w:color="auto"/>
              <w:bottom w:val="single" w:sz="4" w:space="0" w:color="auto"/>
              <w:right w:val="single" w:sz="4" w:space="0" w:color="auto"/>
            </w:tcBorders>
            <w:vAlign w:val="center"/>
          </w:tcPr>
          <w:p>
            <w:pPr>
              <w:adjustRightInd w:val="0"/>
              <w:jc w:val="center"/>
              <w:rPr>
                <w:rFonts w:ascii="宋体" w:hAnsi="宋体" w:cs="宋体" w:hint="eastAsia"/>
                <w:szCs w:val="21"/>
                <w:lang w:val="zh-CN"/>
              </w:rPr>
            </w:pPr>
            <w:r>
              <w:rPr>
                <w:rFonts w:ascii="宋体" w:hAnsi="宋体" w:cs="宋体" w:hint="eastAsia"/>
                <w:szCs w:val="21"/>
              </w:rPr>
              <w:t>...</w:t>
            </w:r>
          </w:p>
        </w:tc>
        <w:tc>
          <w:tcPr>
            <w:tcW w:w="4984" w:type="dxa"/>
            <w:gridSpan w:val="6"/>
            <w:tcBorders>
              <w:top w:val="single" w:sz="4" w:space="0" w:color="auto"/>
              <w:left w:val="single" w:sz="4" w:space="0" w:color="auto"/>
              <w:bottom w:val="single" w:sz="4" w:space="0" w:color="auto"/>
              <w:right w:val="single" w:sz="4" w:space="0" w:color="auto"/>
            </w:tcBorders>
            <w:vAlign w:val="center"/>
          </w:tcPr>
          <w:p>
            <w:pPr>
              <w:adjustRightInd w:val="0"/>
              <w:jc w:val="center"/>
              <w:rPr>
                <w:rFonts w:ascii="宋体" w:hAnsi="宋体" w:cs="宋体" w:hint="eastAsia"/>
                <w:szCs w:val="21"/>
                <w:lang w:val="zh-CN"/>
              </w:rPr>
            </w:pPr>
            <w:r>
              <w:rPr>
                <w:rFonts w:ascii="宋体" w:hAnsi="宋体" w:cs="宋体" w:hint="eastAsia"/>
                <w:szCs w:val="21"/>
                <w:lang w:val="zh-CN"/>
              </w:rPr>
              <w:tab/>
            </w:r>
            <w:r>
              <w:rPr>
                <w:rFonts w:ascii="宋体" w:hAnsi="宋体" w:cs="宋体" w:hint="eastAsia"/>
                <w:szCs w:val="21"/>
              </w:rPr>
              <w:t>...</w:t>
            </w:r>
          </w:p>
        </w:tc>
        <w:tc>
          <w:tcPr>
            <w:tcW w:w="649" w:type="dxa"/>
            <w:tcBorders>
              <w:top w:val="single" w:sz="4" w:space="0" w:color="auto"/>
              <w:left w:val="single" w:sz="4" w:space="0" w:color="auto"/>
              <w:bottom w:val="single" w:sz="4" w:space="0" w:color="auto"/>
              <w:right w:val="single" w:sz="4" w:space="0" w:color="auto"/>
            </w:tcBorders>
            <w:vAlign w:val="center"/>
          </w:tcPr>
          <w:p>
            <w:pPr>
              <w:adjustRightInd w:val="0"/>
              <w:jc w:val="center"/>
              <w:rPr>
                <w:rFonts w:ascii="宋体" w:hAnsi="宋体" w:cs="宋体" w:hint="eastAsia"/>
                <w:szCs w:val="21"/>
                <w:lang w:val="zh-CN"/>
              </w:rPr>
            </w:pPr>
          </w:p>
        </w:tc>
        <w:tc>
          <w:tcPr>
            <w:tcW w:w="674" w:type="dxa"/>
            <w:tcBorders>
              <w:top w:val="single" w:sz="4" w:space="0" w:color="auto"/>
              <w:left w:val="single" w:sz="4" w:space="0" w:color="auto"/>
              <w:bottom w:val="single" w:sz="4" w:space="0" w:color="auto"/>
              <w:right w:val="single" w:sz="4" w:space="0" w:color="auto"/>
            </w:tcBorders>
            <w:vAlign w:val="center"/>
          </w:tcPr>
          <w:p>
            <w:pPr>
              <w:adjustRightInd w:val="0"/>
              <w:jc w:val="center"/>
              <w:rPr>
                <w:rFonts w:ascii="宋体" w:hAnsi="宋体" w:cs="宋体" w:hint="eastAsia"/>
                <w:szCs w:val="21"/>
                <w:lang w:val="zh-CN"/>
              </w:rPr>
            </w:pPr>
          </w:p>
        </w:tc>
        <w:tc>
          <w:tcPr>
            <w:tcW w:w="737" w:type="dxa"/>
            <w:tcBorders>
              <w:top w:val="single" w:sz="4" w:space="0" w:color="auto"/>
              <w:left w:val="single" w:sz="4" w:space="0" w:color="auto"/>
              <w:bottom w:val="single" w:sz="4" w:space="0" w:color="auto"/>
              <w:right w:val="single" w:sz="4" w:space="0" w:color="auto"/>
            </w:tcBorders>
            <w:vAlign w:val="center"/>
          </w:tcPr>
          <w:p>
            <w:pPr>
              <w:adjustRightInd w:val="0"/>
              <w:jc w:val="center"/>
              <w:rPr>
                <w:rFonts w:ascii="宋体" w:hAnsi="宋体" w:cs="宋体" w:hint="eastAsia"/>
                <w:szCs w:val="21"/>
                <w:lang w:val="zh-CN"/>
              </w:rPr>
            </w:pPr>
          </w:p>
        </w:tc>
        <w:tc>
          <w:tcPr>
            <w:tcW w:w="936" w:type="dxa"/>
            <w:tcBorders>
              <w:top w:val="single" w:sz="4" w:space="0" w:color="auto"/>
              <w:left w:val="single" w:sz="4" w:space="0" w:color="auto"/>
              <w:bottom w:val="single" w:sz="4" w:space="0" w:color="auto"/>
              <w:right w:val="single" w:sz="4" w:space="0" w:color="auto"/>
            </w:tcBorders>
            <w:vAlign w:val="center"/>
          </w:tcPr>
          <w:p>
            <w:pPr>
              <w:adjustRightInd w:val="0"/>
              <w:jc w:val="center"/>
              <w:rPr>
                <w:rFonts w:ascii="宋体" w:hAnsi="宋体" w:cs="宋体" w:hint="eastAsia"/>
                <w:szCs w:val="21"/>
                <w:lang w:val="zh-CN"/>
              </w:rPr>
            </w:pPr>
          </w:p>
        </w:tc>
        <w:tc>
          <w:tcPr>
            <w:tcW w:w="843" w:type="dxa"/>
            <w:tcBorders>
              <w:top w:val="single" w:sz="4" w:space="0" w:color="auto"/>
              <w:left w:val="single" w:sz="4" w:space="0" w:color="auto"/>
              <w:bottom w:val="single" w:sz="4" w:space="0" w:color="auto"/>
              <w:right w:val="single" w:sz="4" w:space="0" w:color="auto"/>
            </w:tcBorders>
            <w:vAlign w:val="center"/>
          </w:tcPr>
          <w:p>
            <w:pPr>
              <w:adjustRightInd w:val="0"/>
              <w:jc w:val="center"/>
              <w:rPr>
                <w:rFonts w:ascii="宋体" w:hAnsi="宋体" w:cs="宋体" w:hint="eastAsia"/>
                <w:szCs w:val="21"/>
                <w:lang w:val="zh-CN"/>
              </w:rPr>
            </w:pPr>
          </w:p>
        </w:tc>
      </w:tr>
      <w:tr>
        <w:tblPrEx>
          <w:tblW w:w="0" w:type="auto"/>
          <w:jc w:val="center"/>
          <w:tblLayout w:type="fixed"/>
          <w:tblCellMar>
            <w:top w:w="0" w:type="dxa"/>
            <w:left w:w="108" w:type="dxa"/>
            <w:bottom w:w="0" w:type="dxa"/>
            <w:right w:w="108" w:type="dxa"/>
          </w:tblCellMar>
          <w:tblLook w:val="0000"/>
        </w:tblPrEx>
        <w:trPr>
          <w:trHeight w:val="454"/>
          <w:jc w:val="center"/>
        </w:trPr>
        <w:tc>
          <w:tcPr>
            <w:tcW w:w="9667" w:type="dxa"/>
            <w:gridSpan w:val="12"/>
            <w:tcBorders>
              <w:top w:val="single" w:sz="4" w:space="0" w:color="auto"/>
              <w:left w:val="single" w:sz="4" w:space="0" w:color="auto"/>
              <w:bottom w:val="single" w:sz="4" w:space="0" w:color="auto"/>
              <w:right w:val="single" w:sz="4" w:space="0" w:color="auto"/>
            </w:tcBorders>
            <w:vAlign w:val="center"/>
          </w:tcPr>
          <w:p>
            <w:pPr>
              <w:adjustRightInd w:val="0"/>
              <w:rPr>
                <w:rFonts w:ascii="宋体" w:hAnsi="宋体" w:cs="宋体" w:hint="eastAsia"/>
                <w:szCs w:val="21"/>
                <w:lang w:val="zh-CN"/>
              </w:rPr>
            </w:pPr>
            <w:r>
              <w:rPr>
                <w:rFonts w:ascii="宋体" w:hAnsi="宋体" w:cs="宋体" w:hint="eastAsia"/>
                <w:b/>
                <w:bCs/>
                <w:szCs w:val="21"/>
                <w:lang w:val="zh-CN"/>
              </w:rPr>
              <w:t>二、价格汇总表</w:t>
            </w:r>
          </w:p>
        </w:tc>
      </w:tr>
      <w:tr>
        <w:tblPrEx>
          <w:tblW w:w="0" w:type="auto"/>
          <w:jc w:val="center"/>
          <w:tblLayout w:type="fixed"/>
          <w:tblCellMar>
            <w:top w:w="0" w:type="dxa"/>
            <w:left w:w="108" w:type="dxa"/>
            <w:bottom w:w="0" w:type="dxa"/>
            <w:right w:w="108" w:type="dxa"/>
          </w:tblCellMar>
          <w:tblLook w:val="0000"/>
        </w:tblPrEx>
        <w:trPr>
          <w:trHeight w:val="754"/>
          <w:jc w:val="center"/>
        </w:trPr>
        <w:tc>
          <w:tcPr>
            <w:tcW w:w="3917" w:type="dxa"/>
            <w:gridSpan w:val="5"/>
            <w:tcBorders>
              <w:top w:val="single" w:sz="4" w:space="0" w:color="auto"/>
              <w:left w:val="single" w:sz="4" w:space="0" w:color="auto"/>
              <w:bottom w:val="single" w:sz="4" w:space="0" w:color="auto"/>
              <w:right w:val="single" w:sz="4" w:space="0" w:color="auto"/>
            </w:tcBorders>
            <w:vAlign w:val="center"/>
          </w:tcPr>
          <w:p>
            <w:pPr>
              <w:adjustRightInd w:val="0"/>
              <w:jc w:val="center"/>
              <w:rPr>
                <w:rFonts w:ascii="宋体" w:hAnsi="宋体" w:cs="宋体" w:hint="eastAsia"/>
                <w:szCs w:val="21"/>
                <w:lang w:val="zh-CN"/>
              </w:rPr>
            </w:pPr>
            <w:r>
              <w:rPr>
                <w:rFonts w:ascii="宋体" w:hAnsi="宋体" w:cs="宋体" w:hint="eastAsia"/>
                <w:szCs w:val="21"/>
                <w:lang w:val="zh-CN"/>
              </w:rPr>
              <w:t>投标总价（设备列表总价和分</w:t>
            </w:r>
            <w:r>
              <w:rPr>
                <w:rFonts w:ascii="宋体" w:hAnsi="宋体" w:cs="宋体" w:hint="eastAsia"/>
                <w:szCs w:val="21"/>
              </w:rPr>
              <w:t>类</w:t>
            </w:r>
            <w:r>
              <w:rPr>
                <w:rFonts w:ascii="宋体" w:hAnsi="宋体" w:cs="宋体" w:hint="eastAsia"/>
                <w:szCs w:val="21"/>
                <w:lang w:val="zh-CN"/>
              </w:rPr>
              <w:t>报价表之和）</w:t>
            </w:r>
          </w:p>
        </w:tc>
        <w:tc>
          <w:tcPr>
            <w:tcW w:w="5750" w:type="dxa"/>
            <w:gridSpan w:val="7"/>
            <w:tcBorders>
              <w:top w:val="single" w:sz="4" w:space="0" w:color="auto"/>
              <w:left w:val="single" w:sz="4" w:space="0" w:color="auto"/>
              <w:bottom w:val="single" w:sz="4" w:space="0" w:color="auto"/>
              <w:right w:val="single" w:sz="4" w:space="0" w:color="auto"/>
            </w:tcBorders>
            <w:vAlign w:val="center"/>
          </w:tcPr>
          <w:p>
            <w:pPr>
              <w:adjustRightInd w:val="0"/>
              <w:jc w:val="center"/>
              <w:rPr>
                <w:rFonts w:ascii="宋体" w:hAnsi="宋体" w:cs="宋体" w:hint="eastAsia"/>
                <w:szCs w:val="21"/>
                <w:lang w:val="zh-CN"/>
              </w:rPr>
            </w:pPr>
            <w:r>
              <w:rPr>
                <w:rFonts w:ascii="宋体" w:hAnsi="宋体" w:cs="宋体" w:hint="eastAsia"/>
                <w:szCs w:val="21"/>
                <w:lang w:val="zh-CN"/>
              </w:rPr>
              <w:t>￥      元</w:t>
            </w:r>
          </w:p>
        </w:tc>
      </w:tr>
      <w:tr>
        <w:tblPrEx>
          <w:tblW w:w="0" w:type="auto"/>
          <w:jc w:val="center"/>
          <w:tblLayout w:type="fixed"/>
          <w:tblCellMar>
            <w:top w:w="0" w:type="dxa"/>
            <w:left w:w="108" w:type="dxa"/>
            <w:bottom w:w="0" w:type="dxa"/>
            <w:right w:w="108" w:type="dxa"/>
          </w:tblCellMar>
          <w:tblLook w:val="0000"/>
        </w:tblPrEx>
        <w:trPr>
          <w:trHeight w:val="754"/>
          <w:jc w:val="center"/>
        </w:trPr>
        <w:tc>
          <w:tcPr>
            <w:tcW w:w="9667" w:type="dxa"/>
            <w:gridSpan w:val="12"/>
            <w:tcBorders>
              <w:top w:val="single" w:sz="4" w:space="0" w:color="auto"/>
              <w:left w:val="single" w:sz="4" w:space="0" w:color="auto"/>
              <w:bottom w:val="single" w:sz="4" w:space="0" w:color="auto"/>
              <w:right w:val="single" w:sz="4" w:space="0" w:color="auto"/>
            </w:tcBorders>
            <w:vAlign w:val="center"/>
          </w:tcPr>
          <w:p>
            <w:pPr>
              <w:adjustRightInd w:val="0"/>
              <w:rPr>
                <w:rFonts w:ascii="宋体" w:hAnsi="宋体" w:cs="宋体" w:hint="eastAsia"/>
                <w:szCs w:val="21"/>
                <w:lang w:val="zh-CN"/>
              </w:rPr>
            </w:pPr>
            <w:r>
              <w:rPr>
                <w:rFonts w:ascii="宋体" w:hAnsi="宋体" w:cs="宋体" w:hint="eastAsia"/>
                <w:b/>
                <w:bCs/>
                <w:szCs w:val="21"/>
                <w:lang w:val="zh-CN"/>
              </w:rPr>
              <w:t>三、我公司所投核心产品品牌为：</w:t>
            </w:r>
            <w:r>
              <w:rPr>
                <w:rFonts w:ascii="宋体" w:hAnsi="宋体" w:cs="宋体" w:hint="eastAsia"/>
                <w:b/>
                <w:bCs/>
                <w:szCs w:val="21"/>
                <w:u w:val="single"/>
                <w:lang w:val="zh-CN"/>
              </w:rPr>
              <w:t xml:space="preserve">               </w:t>
            </w:r>
            <w:r>
              <w:rPr>
                <w:rFonts w:ascii="宋体" w:hAnsi="宋体" w:cs="宋体" w:hint="eastAsia"/>
                <w:szCs w:val="21"/>
                <w:lang w:val="zh-CN"/>
              </w:rPr>
              <w:t>（如招标文件未列明核心产品，投标人无需填写核心产品品牌）。</w:t>
            </w:r>
          </w:p>
        </w:tc>
      </w:tr>
    </w:tbl>
    <w:p>
      <w:pPr>
        <w:jc w:val="center"/>
        <w:rPr>
          <w:rFonts w:ascii="宋体" w:hAnsi="宋体" w:cs="宋体" w:hint="eastAsia"/>
          <w:b/>
          <w:bCs/>
          <w:szCs w:val="21"/>
        </w:rPr>
      </w:pPr>
    </w:p>
    <w:p>
      <w:pPr>
        <w:rPr>
          <w:rFonts w:ascii="宋体" w:hAnsi="宋体" w:cs="宋体" w:hint="eastAsia"/>
          <w:b/>
          <w:szCs w:val="21"/>
        </w:rPr>
      </w:pPr>
      <w:r>
        <w:rPr>
          <w:rFonts w:ascii="宋体" w:hAnsi="宋体" w:cs="宋体" w:hint="eastAsia"/>
          <w:b/>
          <w:szCs w:val="21"/>
        </w:rPr>
        <w:t>注：1.请根据“第二章 招标项目需求” 中的“货物清单”填写。</w:t>
      </w:r>
    </w:p>
    <w:p>
      <w:pPr>
        <w:rPr>
          <w:rFonts w:ascii="宋体" w:hAnsi="宋体" w:cs="宋体" w:hint="eastAsia"/>
          <w:b/>
          <w:szCs w:val="21"/>
        </w:rPr>
      </w:pPr>
      <w:r>
        <w:rPr>
          <w:rFonts w:ascii="宋体" w:hAnsi="宋体" w:cs="宋体" w:hint="eastAsia"/>
          <w:b/>
          <w:szCs w:val="21"/>
        </w:rPr>
        <w:t xml:space="preserve">    2. 所有价格应按“招标文件”中规定的货币单位填写；投标总价应为以上各分项价格之和；投标总价和项目报价表中单个采购预算条目报价均不得超过对应的财政预算限额、最高限价，否则将导致无效投标。</w:t>
      </w:r>
    </w:p>
    <w:p>
      <w:pPr>
        <w:ind w:firstLine="480" w:firstLineChars="200"/>
        <w:rPr>
          <w:rFonts w:ascii="宋体" w:hAnsi="宋体" w:cs="宋体" w:hint="eastAsia"/>
          <w:b/>
          <w:szCs w:val="21"/>
        </w:rPr>
      </w:pPr>
      <w:r>
        <w:rPr>
          <w:rFonts w:ascii="宋体" w:hAnsi="宋体" w:cs="宋体" w:hint="eastAsia"/>
          <w:b/>
          <w:szCs w:val="21"/>
        </w:rPr>
        <w:t>3.单价、合价和投标总价为包干价，即三者均应包含产品的价款、包装、运输、装卸、安装、调试、技术指导、培训、咨询、服务、保险、税费、检测、验收合格交付使用之前以及技术和售后服务等各项有关费用。</w:t>
      </w:r>
    </w:p>
    <w:p>
      <w:pPr>
        <w:ind w:firstLine="480" w:firstLineChars="200"/>
        <w:rPr>
          <w:rFonts w:ascii="宋体" w:hAnsi="宋体" w:cs="宋体" w:hint="eastAsia"/>
          <w:b/>
          <w:szCs w:val="21"/>
        </w:rPr>
      </w:pPr>
      <w:r>
        <w:rPr>
          <w:rFonts w:ascii="宋体" w:hAnsi="宋体" w:cs="宋体" w:hint="eastAsia"/>
          <w:b/>
          <w:szCs w:val="21"/>
        </w:rPr>
        <w:t>4.开标一览表的投标总价必须与本表的投标总价一致。</w:t>
      </w:r>
    </w:p>
    <w:p>
      <w:pPr>
        <w:ind w:firstLine="470" w:firstLineChars="196"/>
        <w:rPr>
          <w:rFonts w:ascii="宋体" w:hAnsi="宋体" w:cs="宋体" w:hint="eastAsia"/>
          <w:b/>
          <w:szCs w:val="21"/>
        </w:rPr>
      </w:pPr>
      <w:r>
        <w:rPr>
          <w:rFonts w:ascii="宋体" w:hAnsi="宋体" w:cs="宋体" w:hint="eastAsia"/>
          <w:b/>
          <w:szCs w:val="21"/>
        </w:rPr>
        <w:t>5.“原产地”是指该产品的实际生产加工地，而非品牌总公司所在地。</w:t>
      </w:r>
    </w:p>
    <w:p>
      <w:pPr>
        <w:ind w:firstLine="480" w:firstLineChars="200"/>
        <w:rPr>
          <w:rFonts w:ascii="宋体" w:hAnsi="宋体" w:cs="宋体" w:hint="eastAsia"/>
          <w:szCs w:val="21"/>
          <w:lang w:val="zh-CN"/>
        </w:rPr>
      </w:pPr>
      <w:r>
        <w:rPr>
          <w:rFonts w:ascii="宋体" w:hAnsi="宋体" w:cs="宋体" w:hint="eastAsia"/>
          <w:b/>
          <w:szCs w:val="21"/>
        </w:rPr>
        <w:t>6.详细填写所投货物的制造商名称；若如所投产品属于定制类的非量产货物或无具体型号的货物，可以不填写型号等信息，但应当标注投标产品为定制产品。</w:t>
      </w:r>
    </w:p>
    <w:p>
      <w:pPr>
        <w:pStyle w:val="BodyText"/>
        <w:rPr>
          <w:rFonts w:ascii="宋体" w:hAnsi="宋体" w:cs="宋体" w:hint="eastAsia"/>
          <w:lang w:val="zh-CN"/>
        </w:rPr>
      </w:pPr>
    </w:p>
    <w:p>
      <w:pPr>
        <w:spacing w:line="300" w:lineRule="auto"/>
        <w:rPr>
          <w:rFonts w:ascii="宋体" w:hAnsi="宋体" w:cs="宋体" w:hint="eastAsia"/>
          <w:b/>
          <w:bCs/>
          <w:u w:val="single"/>
        </w:rPr>
      </w:pPr>
    </w:p>
    <w:p>
      <w:pPr>
        <w:spacing w:line="360" w:lineRule="auto"/>
        <w:ind w:firstLine="5760" w:firstLineChars="2400"/>
        <w:jc w:val="left"/>
        <w:rPr>
          <w:rFonts w:ascii="宋体" w:hAnsi="宋体" w:cs="宋体" w:hint="eastAsia"/>
          <w:szCs w:val="21"/>
          <w:u w:val="single"/>
        </w:rPr>
      </w:pPr>
      <w:r>
        <w:rPr>
          <w:rFonts w:ascii="宋体" w:hAnsi="宋体" w:cs="宋体" w:hint="eastAsia"/>
          <w:szCs w:val="21"/>
        </w:rPr>
        <w:t>投标人：</w:t>
      </w:r>
      <w:r>
        <w:rPr>
          <w:rFonts w:ascii="宋体" w:hAnsi="宋体" w:cs="宋体" w:hint="eastAsia"/>
          <w:szCs w:val="21"/>
          <w:u w:val="single"/>
        </w:rPr>
        <w:t xml:space="preserve">                         </w:t>
      </w:r>
    </w:p>
    <w:p>
      <w:pPr>
        <w:spacing w:line="360" w:lineRule="auto"/>
        <w:ind w:firstLine="5760" w:firstLineChars="2400"/>
        <w:jc w:val="left"/>
        <w:rPr>
          <w:rFonts w:ascii="宋体" w:hAnsi="宋体" w:cs="宋体" w:hint="eastAsia"/>
          <w:szCs w:val="21"/>
          <w:u w:val="single"/>
        </w:rPr>
      </w:pPr>
      <w:r>
        <w:rPr>
          <w:rFonts w:ascii="宋体" w:hAnsi="宋体" w:cs="宋体" w:hint="eastAsia"/>
          <w:szCs w:val="21"/>
        </w:rPr>
        <w:t>法定代表人或其授权代表：</w:t>
      </w:r>
      <w:r>
        <w:rPr>
          <w:rFonts w:ascii="宋体" w:hAnsi="宋体" w:cs="宋体" w:hint="eastAsia"/>
          <w:szCs w:val="21"/>
          <w:u w:val="single"/>
        </w:rPr>
        <w:t xml:space="preserve">          </w:t>
      </w:r>
    </w:p>
    <w:p>
      <w:pPr>
        <w:ind w:right="840" w:firstLine="5760" w:firstLineChars="2400"/>
        <w:rPr>
          <w:rFonts w:ascii="宋体" w:hAnsi="宋体" w:cs="宋体" w:hint="eastAsia"/>
          <w:b/>
          <w:bCs/>
        </w:rPr>
      </w:pPr>
      <w:r>
        <w:rPr>
          <w:rFonts w:ascii="宋体" w:hAnsi="宋体" w:cs="宋体" w:hint="eastAsia"/>
          <w:szCs w:val="21"/>
        </w:rPr>
        <w:t>日期：</w:t>
      </w:r>
      <w:r>
        <w:rPr>
          <w:rFonts w:ascii="宋体" w:hAnsi="宋体" w:cs="宋体" w:hint="eastAsia"/>
          <w:szCs w:val="21"/>
          <w:u w:val="single"/>
        </w:rPr>
        <w:t xml:space="preserve">   </w:t>
      </w:r>
      <w:r>
        <w:rPr>
          <w:rFonts w:ascii="宋体" w:hAnsi="宋体" w:cs="宋体" w:hint="eastAsia"/>
          <w:szCs w:val="21"/>
        </w:rPr>
        <w:t>年</w:t>
      </w:r>
      <w:r>
        <w:rPr>
          <w:rFonts w:ascii="宋体" w:hAnsi="宋体" w:cs="宋体" w:hint="eastAsia"/>
          <w:szCs w:val="21"/>
          <w:u w:val="single"/>
        </w:rPr>
        <w:t xml:space="preserve">   </w:t>
      </w:r>
      <w:r>
        <w:rPr>
          <w:rFonts w:ascii="宋体" w:hAnsi="宋体" w:cs="宋体" w:hint="eastAsia"/>
          <w:szCs w:val="21"/>
        </w:rPr>
        <w:t>月</w:t>
      </w:r>
      <w:r>
        <w:rPr>
          <w:rFonts w:ascii="宋体" w:hAnsi="宋体" w:cs="宋体" w:hint="eastAsia"/>
          <w:szCs w:val="21"/>
          <w:u w:val="single"/>
        </w:rPr>
        <w:t xml:space="preserve">   </w:t>
      </w:r>
      <w:r>
        <w:rPr>
          <w:rFonts w:ascii="宋体" w:hAnsi="宋体" w:cs="宋体" w:hint="eastAsia"/>
          <w:szCs w:val="21"/>
        </w:rPr>
        <w:t>日</w:t>
      </w:r>
    </w:p>
    <w:p>
      <w:pPr>
        <w:rPr>
          <w:rFonts w:ascii="宋体" w:hAnsi="宋体" w:cs="宋体" w:hint="eastAsia"/>
          <w:b/>
          <w:bCs/>
          <w:szCs w:val="21"/>
        </w:rPr>
      </w:pPr>
    </w:p>
    <w:p>
      <w:pPr>
        <w:pStyle w:val="Heading4"/>
        <w:jc w:val="center"/>
        <w:rPr>
          <w:rFonts w:ascii="宋体" w:eastAsia="宋体" w:hAnsi="宋体" w:cs="宋体" w:hint="eastAsia"/>
          <w:szCs w:val="24"/>
        </w:rPr>
      </w:pPr>
      <w:r>
        <w:rPr>
          <w:rFonts w:ascii="宋体" w:hAnsi="宋体" w:cs="宋体" w:hint="eastAsia"/>
        </w:rPr>
        <w:br w:type="page"/>
      </w:r>
      <w:r>
        <w:rPr>
          <w:rFonts w:ascii="宋体" w:eastAsia="宋体" w:hAnsi="宋体" w:cs="宋体" w:hint="eastAsia"/>
          <w:sz w:val="21"/>
          <w:szCs w:val="21"/>
        </w:rPr>
        <w:t>六、技术规格偏离表</w:t>
      </w:r>
    </w:p>
    <w:p>
      <w:pPr>
        <w:spacing w:line="360" w:lineRule="auto"/>
        <w:rPr>
          <w:rFonts w:ascii="宋体" w:hAnsi="宋体" w:cs="宋体" w:hint="eastAsia"/>
        </w:rPr>
      </w:pPr>
      <w:r>
        <w:rPr>
          <w:rFonts w:ascii="宋体" w:hAnsi="宋体" w:cs="宋体" w:hint="eastAsia"/>
        </w:rPr>
        <w:t>重点提示：带“</w:t>
      </w:r>
      <w:r>
        <w:rPr>
          <w:rFonts w:ascii="宋体" w:hAnsi="宋体" w:cs="宋体" w:hint="eastAsia"/>
          <w:b/>
          <w:bCs/>
          <w:kern w:val="0"/>
          <w:szCs w:val="21"/>
        </w:rPr>
        <w:t>★</w:t>
      </w:r>
      <w:r>
        <w:rPr>
          <w:rFonts w:ascii="宋体" w:hAnsi="宋体" w:cs="宋体" w:hint="eastAsia"/>
        </w:rPr>
        <w:t>”标识参数的不允许负偏离，</w:t>
      </w:r>
      <w:r>
        <w:rPr>
          <w:rFonts w:ascii="宋体" w:hAnsi="宋体" w:cs="宋体" w:hint="eastAsia"/>
          <w:bCs/>
          <w:kern w:val="0"/>
          <w:szCs w:val="21"/>
        </w:rPr>
        <w:t>如出现负偏离，将被视为未实质性满足招标文件要求作投标无效处理。</w:t>
      </w:r>
      <w:r>
        <w:rPr>
          <w:rFonts w:ascii="宋体" w:hAnsi="宋体" w:cs="宋体" w:hint="eastAsia"/>
        </w:rPr>
        <w:t>投标人若无法提供带“▲”标识参数的证明材料（招标文件如有要求），偏离情况需填“</w:t>
      </w:r>
      <w:r>
        <w:rPr>
          <w:rFonts w:ascii="宋体" w:hAnsi="宋体" w:cs="宋体" w:hint="eastAsia"/>
          <w:b/>
          <w:bCs/>
          <w:kern w:val="0"/>
          <w:sz w:val="20"/>
          <w:szCs w:val="20"/>
        </w:rPr>
        <w:t>负偏离</w:t>
      </w:r>
      <w:r>
        <w:rPr>
          <w:rFonts w:ascii="宋体" w:hAnsi="宋体" w:cs="宋体" w:hint="eastAsia"/>
        </w:rPr>
        <w:t>”，若填“无偏离”但又无法提供带“▲”标识参数的证明材料，存在响应不实而被判断为投标无效的可能，具体以评标委员会意见为准。</w:t>
      </w:r>
    </w:p>
    <w:tbl>
      <w:tblPr>
        <w:tblStyle w:val="TableNormal"/>
        <w:tblW w:w="499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Look w:val="0000"/>
      </w:tblPr>
      <w:tblGrid>
        <w:gridCol w:w="437"/>
        <w:gridCol w:w="4334"/>
        <w:gridCol w:w="2282"/>
        <w:gridCol w:w="1046"/>
        <w:gridCol w:w="427"/>
      </w:tblGrid>
      <w:tr>
        <w:tblPrEx>
          <w:tblW w:w="499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Look w:val="0000"/>
        </w:tblPrEx>
        <w:tc>
          <w:tcPr>
            <w:tcW w:w="256" w:type="pct"/>
            <w:vAlign w:val="center"/>
          </w:tcPr>
          <w:p>
            <w:pPr>
              <w:jc w:val="center"/>
              <w:rPr>
                <w:rFonts w:hint="eastAsia"/>
                <w:b/>
                <w:color w:val="000000"/>
              </w:rPr>
            </w:pPr>
            <w:r>
              <w:rPr>
                <w:rFonts w:ascii="宋体" w:hAnsi="宋体" w:cs="宋体" w:hint="eastAsia"/>
                <w:b/>
                <w:bCs/>
                <w:kern w:val="0"/>
                <w:szCs w:val="21"/>
              </w:rPr>
              <w:t>序号</w:t>
            </w:r>
          </w:p>
        </w:tc>
        <w:tc>
          <w:tcPr>
            <w:tcW w:w="2541" w:type="pct"/>
            <w:vAlign w:val="center"/>
          </w:tcPr>
          <w:p>
            <w:pPr>
              <w:jc w:val="center"/>
              <w:rPr>
                <w:rFonts w:hint="eastAsia"/>
                <w:b/>
                <w:color w:val="000000"/>
              </w:rPr>
            </w:pPr>
            <w:r>
              <w:rPr>
                <w:rFonts w:ascii="宋体" w:hAnsi="宋体" w:cs="宋体" w:hint="eastAsia"/>
                <w:b/>
                <w:bCs/>
                <w:kern w:val="0"/>
                <w:szCs w:val="21"/>
              </w:rPr>
              <w:t>招标技术</w:t>
            </w:r>
            <w:r>
              <w:rPr>
                <w:rFonts w:ascii="宋体" w:hAnsi="宋体" w:cs="宋体" w:hint="eastAsia"/>
                <w:b/>
                <w:bCs/>
                <w:szCs w:val="21"/>
              </w:rPr>
              <w:t>需</w:t>
            </w:r>
            <w:r>
              <w:rPr>
                <w:rFonts w:ascii="宋体" w:hAnsi="宋体" w:cs="宋体" w:hint="eastAsia"/>
                <w:b/>
                <w:bCs/>
                <w:kern w:val="0"/>
                <w:szCs w:val="21"/>
              </w:rPr>
              <w:t>求</w:t>
            </w:r>
          </w:p>
        </w:tc>
        <w:tc>
          <w:tcPr>
            <w:tcW w:w="1338" w:type="pct"/>
            <w:vAlign w:val="center"/>
          </w:tcPr>
          <w:p>
            <w:pPr>
              <w:jc w:val="center"/>
              <w:rPr>
                <w:rFonts w:hint="eastAsia"/>
                <w:color w:val="000000"/>
                <w:szCs w:val="21"/>
              </w:rPr>
            </w:pPr>
            <w:r>
              <w:rPr>
                <w:rFonts w:ascii="宋体" w:hAnsi="宋体" w:cs="宋体" w:hint="eastAsia"/>
                <w:b/>
                <w:bCs/>
                <w:kern w:val="0"/>
                <w:szCs w:val="21"/>
              </w:rPr>
              <w:t>投标技术响应</w:t>
            </w:r>
          </w:p>
        </w:tc>
        <w:tc>
          <w:tcPr>
            <w:tcW w:w="613" w:type="pct"/>
            <w:vAlign w:val="center"/>
          </w:tcPr>
          <w:p>
            <w:pPr>
              <w:jc w:val="center"/>
              <w:rPr>
                <w:rFonts w:hint="eastAsia"/>
                <w:color w:val="000000"/>
                <w:szCs w:val="21"/>
              </w:rPr>
            </w:pPr>
            <w:r>
              <w:rPr>
                <w:rFonts w:ascii="宋体" w:hAnsi="宋体" w:cs="宋体" w:hint="eastAsia"/>
                <w:b/>
                <w:szCs w:val="21"/>
              </w:rPr>
              <w:t>偏离情况</w:t>
            </w:r>
          </w:p>
        </w:tc>
        <w:tc>
          <w:tcPr>
            <w:tcW w:w="250" w:type="pct"/>
            <w:vAlign w:val="center"/>
          </w:tcPr>
          <w:p>
            <w:pPr>
              <w:jc w:val="center"/>
              <w:rPr>
                <w:rFonts w:hint="eastAsia"/>
                <w:color w:val="000000"/>
                <w:szCs w:val="21"/>
              </w:rPr>
            </w:pPr>
            <w:r>
              <w:rPr>
                <w:rFonts w:ascii="宋体" w:hAnsi="宋体" w:cs="宋体" w:hint="eastAsia"/>
                <w:b/>
                <w:bCs/>
                <w:kern w:val="0"/>
                <w:szCs w:val="21"/>
              </w:rPr>
              <w:t>说明</w:t>
            </w:r>
          </w:p>
        </w:tc>
      </w:tr>
      <w:tr>
        <w:tblPrEx>
          <w:tblW w:w="4998" w:type="pct"/>
          <w:tblCellMar>
            <w:top w:w="0" w:type="dxa"/>
            <w:left w:w="108" w:type="dxa"/>
            <w:bottom w:w="0" w:type="dxa"/>
            <w:right w:w="108" w:type="dxa"/>
          </w:tblCellMar>
          <w:tblLook w:val="0000"/>
        </w:tblPrEx>
        <w:tc>
          <w:tcPr>
            <w:tcW w:w="256" w:type="pct"/>
            <w:vAlign w:val="center"/>
          </w:tcPr>
          <w:p>
            <w:pPr>
              <w:widowControl/>
              <w:jc w:val="left"/>
              <w:rPr>
                <w:rFonts w:ascii="宋体" w:hAnsi="宋体" w:cs="宋体" w:hint="eastAsia"/>
                <w:color w:val="000000"/>
                <w:szCs w:val="21"/>
              </w:rPr>
            </w:pPr>
          </w:p>
        </w:tc>
        <w:tc>
          <w:tcPr>
            <w:tcW w:w="2541" w:type="pct"/>
            <w:vAlign w:val="center"/>
          </w:tcPr>
          <w:p>
            <w:pPr>
              <w:widowControl/>
              <w:jc w:val="left"/>
              <w:rPr>
                <w:rFonts w:ascii="宋体" w:hAnsi="宋体" w:cs="宋体" w:hint="eastAsia"/>
                <w:color w:val="000000"/>
                <w:szCs w:val="21"/>
              </w:rPr>
            </w:pPr>
          </w:p>
        </w:tc>
        <w:tc>
          <w:tcPr>
            <w:tcW w:w="1338" w:type="pct"/>
            <w:vAlign w:val="center"/>
          </w:tcPr>
          <w:p>
            <w:pPr>
              <w:pStyle w:val="BodyText"/>
              <w:ind w:left="-22" w:leftChars="-9"/>
              <w:rPr>
                <w:rFonts w:ascii="宋体" w:hAnsi="宋体" w:cs="宋体" w:hint="eastAsia"/>
                <w:color w:val="000000"/>
                <w:szCs w:val="21"/>
              </w:rPr>
            </w:pPr>
            <w:r>
              <w:rPr>
                <w:rFonts w:ascii="宋体" w:hAnsi="宋体" w:cs="宋体" w:hint="eastAsia"/>
                <w:sz w:val="21"/>
                <w:szCs w:val="21"/>
              </w:rPr>
              <w:t>说明：请依据招标文件第二章招标项目需求中“具体技术要求”内容填写投标响应的具体内容。</w:t>
            </w:r>
          </w:p>
        </w:tc>
        <w:tc>
          <w:tcPr>
            <w:tcW w:w="613" w:type="pct"/>
          </w:tcPr>
          <w:p>
            <w:pPr>
              <w:tabs>
                <w:tab w:val="left" w:pos="1260"/>
              </w:tabs>
              <w:spacing w:line="340" w:lineRule="exact"/>
              <w:rPr>
                <w:rFonts w:ascii="宋体" w:hAnsi="宋体" w:cs="宋体" w:hint="eastAsia"/>
                <w:color w:val="000000"/>
                <w:szCs w:val="21"/>
              </w:rPr>
            </w:pPr>
            <w:r>
              <w:rPr>
                <w:rFonts w:ascii="宋体" w:hAnsi="宋体" w:cs="宋体" w:hint="eastAsia"/>
                <w:b/>
                <w:szCs w:val="21"/>
              </w:rPr>
              <w:t>“正偏离”、“无偏离”或“负偏离”</w:t>
            </w:r>
          </w:p>
        </w:tc>
        <w:tc>
          <w:tcPr>
            <w:tcW w:w="250" w:type="pct"/>
            <w:vAlign w:val="center"/>
          </w:tcPr>
          <w:p>
            <w:pPr>
              <w:jc w:val="left"/>
              <w:rPr>
                <w:rFonts w:ascii="宋体" w:hAnsi="宋体" w:cs="宋体" w:hint="eastAsia"/>
                <w:color w:val="000000"/>
                <w:szCs w:val="21"/>
              </w:rPr>
            </w:pPr>
          </w:p>
        </w:tc>
      </w:tr>
      <w:tr>
        <w:tblPrEx>
          <w:tblW w:w="4998" w:type="pct"/>
          <w:tblCellMar>
            <w:top w:w="0" w:type="dxa"/>
            <w:left w:w="108" w:type="dxa"/>
            <w:bottom w:w="0" w:type="dxa"/>
            <w:right w:w="108" w:type="dxa"/>
          </w:tblCellMar>
          <w:tblLook w:val="0000"/>
        </w:tblPrEx>
        <w:tc>
          <w:tcPr>
            <w:tcW w:w="256" w:type="pct"/>
            <w:vAlign w:val="center"/>
          </w:tcPr>
          <w:p>
            <w:pPr>
              <w:jc w:val="left"/>
              <w:rPr>
                <w:rFonts w:ascii="宋体" w:hAnsi="宋体" w:cs="宋体" w:hint="eastAsia"/>
                <w:color w:val="000000"/>
                <w:szCs w:val="21"/>
              </w:rPr>
            </w:pPr>
          </w:p>
        </w:tc>
        <w:tc>
          <w:tcPr>
            <w:tcW w:w="2541" w:type="pct"/>
            <w:vAlign w:val="center"/>
          </w:tcPr>
          <w:p>
            <w:pPr>
              <w:widowControl/>
              <w:jc w:val="left"/>
              <w:rPr>
                <w:rFonts w:ascii="宋体" w:hAnsi="宋体" w:cs="宋体" w:hint="eastAsia"/>
                <w:color w:val="000000"/>
                <w:szCs w:val="21"/>
              </w:rPr>
            </w:pPr>
          </w:p>
        </w:tc>
        <w:tc>
          <w:tcPr>
            <w:tcW w:w="1338" w:type="pct"/>
            <w:vAlign w:val="center"/>
          </w:tcPr>
          <w:p>
            <w:pPr>
              <w:widowControl/>
              <w:jc w:val="left"/>
              <w:rPr>
                <w:rFonts w:ascii="宋体" w:hAnsi="宋体" w:cs="宋体"/>
                <w:color w:val="000000"/>
                <w:szCs w:val="21"/>
              </w:rPr>
            </w:pPr>
          </w:p>
        </w:tc>
        <w:tc>
          <w:tcPr>
            <w:tcW w:w="613" w:type="pct"/>
            <w:vAlign w:val="center"/>
          </w:tcPr>
          <w:p>
            <w:pPr>
              <w:widowControl/>
              <w:jc w:val="left"/>
              <w:rPr>
                <w:rFonts w:ascii="宋体" w:hAnsi="宋体" w:cs="宋体"/>
                <w:color w:val="000000"/>
                <w:szCs w:val="21"/>
              </w:rPr>
            </w:pPr>
          </w:p>
        </w:tc>
        <w:tc>
          <w:tcPr>
            <w:tcW w:w="250" w:type="pct"/>
            <w:vAlign w:val="center"/>
          </w:tcPr>
          <w:p>
            <w:pPr>
              <w:widowControl/>
              <w:jc w:val="left"/>
              <w:rPr>
                <w:rFonts w:ascii="宋体" w:hAnsi="宋体" w:cs="宋体"/>
                <w:color w:val="000000"/>
                <w:szCs w:val="21"/>
              </w:rPr>
            </w:pPr>
          </w:p>
        </w:tc>
      </w:tr>
      <w:tr>
        <w:tblPrEx>
          <w:tblW w:w="4998" w:type="pct"/>
          <w:tblCellMar>
            <w:top w:w="0" w:type="dxa"/>
            <w:left w:w="108" w:type="dxa"/>
            <w:bottom w:w="0" w:type="dxa"/>
            <w:right w:w="108" w:type="dxa"/>
          </w:tblCellMar>
          <w:tblLook w:val="0000"/>
        </w:tblPrEx>
        <w:tc>
          <w:tcPr>
            <w:tcW w:w="256" w:type="pct"/>
            <w:vAlign w:val="center"/>
          </w:tcPr>
          <w:p>
            <w:pPr>
              <w:jc w:val="left"/>
              <w:rPr>
                <w:rFonts w:ascii="宋体" w:hAnsi="宋体" w:cs="宋体" w:hint="eastAsia"/>
                <w:color w:val="000000"/>
                <w:szCs w:val="21"/>
              </w:rPr>
            </w:pPr>
          </w:p>
        </w:tc>
        <w:tc>
          <w:tcPr>
            <w:tcW w:w="2541" w:type="pct"/>
            <w:vAlign w:val="center"/>
          </w:tcPr>
          <w:p>
            <w:pPr>
              <w:widowControl/>
              <w:jc w:val="left"/>
              <w:rPr>
                <w:rFonts w:ascii="宋体" w:hAnsi="宋体" w:cs="宋体" w:hint="eastAsia"/>
                <w:color w:val="000000"/>
                <w:szCs w:val="21"/>
              </w:rPr>
            </w:pPr>
          </w:p>
        </w:tc>
        <w:tc>
          <w:tcPr>
            <w:tcW w:w="1338" w:type="pct"/>
            <w:vAlign w:val="center"/>
          </w:tcPr>
          <w:p>
            <w:pPr>
              <w:widowControl/>
              <w:jc w:val="left"/>
              <w:rPr>
                <w:rFonts w:ascii="宋体" w:hAnsi="宋体" w:cs="宋体"/>
                <w:color w:val="000000"/>
                <w:szCs w:val="21"/>
              </w:rPr>
            </w:pPr>
          </w:p>
        </w:tc>
        <w:tc>
          <w:tcPr>
            <w:tcW w:w="613" w:type="pct"/>
            <w:vAlign w:val="center"/>
          </w:tcPr>
          <w:p>
            <w:pPr>
              <w:widowControl/>
              <w:jc w:val="left"/>
              <w:rPr>
                <w:rFonts w:ascii="宋体" w:hAnsi="宋体" w:cs="宋体"/>
                <w:color w:val="000000"/>
                <w:szCs w:val="21"/>
              </w:rPr>
            </w:pPr>
          </w:p>
        </w:tc>
        <w:tc>
          <w:tcPr>
            <w:tcW w:w="250" w:type="pct"/>
            <w:vAlign w:val="center"/>
          </w:tcPr>
          <w:p>
            <w:pPr>
              <w:widowControl/>
              <w:jc w:val="left"/>
              <w:rPr>
                <w:rFonts w:ascii="宋体" w:hAnsi="宋体" w:cs="宋体"/>
                <w:color w:val="000000"/>
                <w:szCs w:val="21"/>
              </w:rPr>
            </w:pPr>
          </w:p>
        </w:tc>
      </w:tr>
      <w:tr>
        <w:tblPrEx>
          <w:tblW w:w="4998" w:type="pct"/>
          <w:tblCellMar>
            <w:top w:w="0" w:type="dxa"/>
            <w:left w:w="108" w:type="dxa"/>
            <w:bottom w:w="0" w:type="dxa"/>
            <w:right w:w="108" w:type="dxa"/>
          </w:tblCellMar>
          <w:tblLook w:val="0000"/>
        </w:tblPrEx>
        <w:tc>
          <w:tcPr>
            <w:tcW w:w="256" w:type="pct"/>
            <w:vAlign w:val="center"/>
          </w:tcPr>
          <w:p>
            <w:pPr>
              <w:jc w:val="left"/>
              <w:rPr>
                <w:rFonts w:ascii="宋体" w:hAnsi="宋体" w:cs="宋体" w:hint="eastAsia"/>
                <w:color w:val="000000"/>
                <w:szCs w:val="21"/>
              </w:rPr>
            </w:pPr>
          </w:p>
        </w:tc>
        <w:tc>
          <w:tcPr>
            <w:tcW w:w="2541" w:type="pct"/>
            <w:vAlign w:val="center"/>
          </w:tcPr>
          <w:p>
            <w:pPr>
              <w:widowControl/>
              <w:jc w:val="left"/>
              <w:rPr>
                <w:rFonts w:ascii="宋体" w:hAnsi="宋体" w:cs="宋体" w:hint="eastAsia"/>
                <w:color w:val="000000"/>
                <w:szCs w:val="21"/>
              </w:rPr>
            </w:pPr>
          </w:p>
        </w:tc>
        <w:tc>
          <w:tcPr>
            <w:tcW w:w="1338" w:type="pct"/>
            <w:vAlign w:val="center"/>
          </w:tcPr>
          <w:p>
            <w:pPr>
              <w:widowControl/>
              <w:jc w:val="left"/>
              <w:rPr>
                <w:rFonts w:ascii="宋体" w:hAnsi="宋体" w:cs="宋体"/>
                <w:color w:val="000000"/>
                <w:szCs w:val="21"/>
              </w:rPr>
            </w:pPr>
          </w:p>
        </w:tc>
        <w:tc>
          <w:tcPr>
            <w:tcW w:w="613" w:type="pct"/>
            <w:vAlign w:val="center"/>
          </w:tcPr>
          <w:p>
            <w:pPr>
              <w:widowControl/>
              <w:jc w:val="left"/>
              <w:rPr>
                <w:rFonts w:ascii="宋体" w:hAnsi="宋体" w:cs="宋体"/>
                <w:color w:val="000000"/>
                <w:szCs w:val="21"/>
              </w:rPr>
            </w:pPr>
          </w:p>
        </w:tc>
        <w:tc>
          <w:tcPr>
            <w:tcW w:w="250" w:type="pct"/>
            <w:vAlign w:val="center"/>
          </w:tcPr>
          <w:p>
            <w:pPr>
              <w:widowControl/>
              <w:jc w:val="left"/>
              <w:rPr>
                <w:rFonts w:ascii="宋体" w:hAnsi="宋体" w:cs="宋体"/>
                <w:color w:val="000000"/>
                <w:szCs w:val="21"/>
              </w:rPr>
            </w:pPr>
          </w:p>
        </w:tc>
      </w:tr>
      <w:tr>
        <w:tblPrEx>
          <w:tblW w:w="4998" w:type="pct"/>
          <w:tblCellMar>
            <w:top w:w="0" w:type="dxa"/>
            <w:left w:w="108" w:type="dxa"/>
            <w:bottom w:w="0" w:type="dxa"/>
            <w:right w:w="108" w:type="dxa"/>
          </w:tblCellMar>
          <w:tblLook w:val="0000"/>
        </w:tblPrEx>
        <w:tc>
          <w:tcPr>
            <w:tcW w:w="256" w:type="pct"/>
            <w:vAlign w:val="center"/>
          </w:tcPr>
          <w:p>
            <w:pPr>
              <w:jc w:val="left"/>
              <w:rPr>
                <w:rFonts w:ascii="宋体" w:hAnsi="宋体" w:cs="宋体" w:hint="eastAsia"/>
                <w:color w:val="000000"/>
                <w:szCs w:val="21"/>
              </w:rPr>
            </w:pPr>
          </w:p>
        </w:tc>
        <w:tc>
          <w:tcPr>
            <w:tcW w:w="2541" w:type="pct"/>
            <w:vAlign w:val="center"/>
          </w:tcPr>
          <w:p>
            <w:pPr>
              <w:widowControl/>
              <w:jc w:val="left"/>
              <w:rPr>
                <w:rFonts w:ascii="宋体" w:hAnsi="宋体" w:cs="宋体" w:hint="eastAsia"/>
                <w:color w:val="000000"/>
                <w:szCs w:val="21"/>
              </w:rPr>
            </w:pPr>
          </w:p>
        </w:tc>
        <w:tc>
          <w:tcPr>
            <w:tcW w:w="1338" w:type="pct"/>
            <w:vAlign w:val="center"/>
          </w:tcPr>
          <w:p>
            <w:pPr>
              <w:widowControl/>
              <w:jc w:val="left"/>
              <w:rPr>
                <w:rFonts w:ascii="宋体" w:hAnsi="宋体" w:cs="宋体"/>
                <w:color w:val="000000"/>
                <w:szCs w:val="21"/>
              </w:rPr>
            </w:pPr>
          </w:p>
        </w:tc>
        <w:tc>
          <w:tcPr>
            <w:tcW w:w="613" w:type="pct"/>
            <w:vAlign w:val="center"/>
          </w:tcPr>
          <w:p>
            <w:pPr>
              <w:widowControl/>
              <w:jc w:val="left"/>
              <w:rPr>
                <w:rFonts w:ascii="宋体" w:hAnsi="宋体" w:cs="宋体"/>
                <w:color w:val="000000"/>
                <w:szCs w:val="21"/>
              </w:rPr>
            </w:pPr>
          </w:p>
        </w:tc>
        <w:tc>
          <w:tcPr>
            <w:tcW w:w="250" w:type="pct"/>
            <w:vAlign w:val="center"/>
          </w:tcPr>
          <w:p>
            <w:pPr>
              <w:widowControl/>
              <w:jc w:val="left"/>
              <w:rPr>
                <w:rFonts w:ascii="宋体" w:hAnsi="宋体" w:cs="宋体"/>
                <w:color w:val="000000"/>
                <w:szCs w:val="21"/>
              </w:rPr>
            </w:pPr>
          </w:p>
        </w:tc>
      </w:tr>
    </w:tbl>
    <w:p>
      <w:pPr>
        <w:rPr>
          <w:rFonts w:ascii="宋体" w:hAnsi="宋体" w:cs="宋体" w:hint="eastAsia"/>
          <w:szCs w:val="21"/>
        </w:rPr>
      </w:pPr>
    </w:p>
    <w:p>
      <w:pPr>
        <w:rPr>
          <w:rFonts w:ascii="宋体" w:hAnsi="宋体" w:cs="宋体" w:hint="eastAsia"/>
          <w:szCs w:val="21"/>
        </w:rPr>
      </w:pPr>
      <w:r>
        <w:rPr>
          <w:rFonts w:ascii="宋体" w:hAnsi="宋体" w:cs="宋体" w:hint="eastAsia"/>
          <w:szCs w:val="21"/>
        </w:rPr>
        <w:t>备注：</w:t>
      </w:r>
    </w:p>
    <w:p>
      <w:pPr>
        <w:rPr>
          <w:rFonts w:ascii="宋体" w:hAnsi="宋体" w:cs="宋体" w:hint="eastAsia"/>
          <w:color w:val="000000"/>
          <w:szCs w:val="21"/>
        </w:rPr>
      </w:pPr>
      <w:r>
        <w:rPr>
          <w:rFonts w:ascii="宋体" w:hAnsi="宋体" w:cs="宋体" w:hint="eastAsia"/>
          <w:color w:val="000000"/>
          <w:szCs w:val="21"/>
        </w:rPr>
        <w:t>1、“招标技术要求”一栏应</w:t>
      </w:r>
      <w:r>
        <w:rPr>
          <w:rFonts w:ascii="宋体" w:hAnsi="宋体" w:cs="宋体" w:hint="eastAsia"/>
          <w:b/>
          <w:color w:val="000000"/>
          <w:szCs w:val="21"/>
        </w:rPr>
        <w:t>填写招标文件第二章</w:t>
      </w:r>
      <w:r>
        <w:rPr>
          <w:rFonts w:ascii="宋体" w:hAnsi="宋体" w:cs="宋体" w:hint="eastAsia"/>
          <w:color w:val="000000"/>
          <w:szCs w:val="21"/>
        </w:rPr>
        <w:t>“</w:t>
      </w:r>
      <w:r>
        <w:rPr>
          <w:rFonts w:ascii="宋体" w:hAnsi="宋体" w:cs="宋体" w:hint="eastAsia"/>
          <w:szCs w:val="21"/>
        </w:rPr>
        <w:t>具体技术要求</w:t>
      </w:r>
      <w:r>
        <w:rPr>
          <w:rFonts w:ascii="宋体" w:hAnsi="宋体" w:cs="宋体" w:hint="eastAsia"/>
          <w:color w:val="000000"/>
          <w:szCs w:val="21"/>
        </w:rPr>
        <w:t>”的内容；</w:t>
      </w:r>
    </w:p>
    <w:p>
      <w:pPr>
        <w:rPr>
          <w:rFonts w:ascii="宋体" w:hAnsi="宋体" w:cs="宋体" w:hint="eastAsia"/>
          <w:color w:val="000000"/>
          <w:szCs w:val="21"/>
        </w:rPr>
      </w:pPr>
      <w:r>
        <w:rPr>
          <w:rFonts w:ascii="宋体" w:hAnsi="宋体" w:cs="宋体" w:hint="eastAsia"/>
          <w:color w:val="000000"/>
          <w:szCs w:val="21"/>
        </w:rPr>
        <w:t>2、“投标技术响应”一栏必须详细填写投标产品的具体参数，并应对照招标技术要求一一对应响应；</w:t>
      </w:r>
    </w:p>
    <w:p>
      <w:pPr>
        <w:rPr>
          <w:rFonts w:ascii="宋体" w:hAnsi="宋体" w:cs="宋体" w:hint="eastAsia"/>
          <w:color w:val="000000"/>
          <w:szCs w:val="21"/>
        </w:rPr>
      </w:pPr>
      <w:r>
        <w:rPr>
          <w:rFonts w:ascii="宋体" w:hAnsi="宋体" w:cs="宋体" w:hint="eastAsia"/>
          <w:color w:val="000000"/>
          <w:szCs w:val="21"/>
        </w:rPr>
        <w:t>3、“偏离情况”一栏应如实填写“正偏离”、“负偏离”或“无偏离”。</w:t>
      </w:r>
    </w:p>
    <w:p>
      <w:pPr>
        <w:rPr>
          <w:rFonts w:ascii="宋体" w:hAnsi="宋体" w:cs="宋体" w:hint="eastAsia"/>
          <w:b/>
          <w:color w:val="FF0000"/>
          <w:szCs w:val="21"/>
        </w:rPr>
      </w:pPr>
      <w:r>
        <w:rPr>
          <w:rFonts w:ascii="宋体" w:hAnsi="宋体" w:cs="宋体" w:hint="eastAsia"/>
          <w:color w:val="000000"/>
          <w:szCs w:val="21"/>
        </w:rPr>
        <w:t>4、投标产品的技术参数应按《技术规格偏离表》中的要求提供相应的证明资料，以证明投标人响应的真实性。证明资料包括制造商公布的产品说明书、产品</w:t>
      </w:r>
      <w:r>
        <w:rPr>
          <w:rFonts w:ascii="宋体" w:hAnsi="宋体" w:cs="宋体" w:hint="eastAsia"/>
          <w:szCs w:val="21"/>
        </w:rPr>
        <w:t>彩页和我国政府机构出具的产品检验和核准证件等。投标人应在“说明”一栏中列出技术参数的证明资料名称，并指明该证明资料在投标文件中的具体位置。投标文件非“★”号条款响应存在缺漏项的视作负偏离；注明提供证明材料的条款必须按要求在投标文件中提供，否则视作负偏离；投标文件的响应情况与填写的偏离情况不相符的，以响应情况为准；投标文件提供的证明材料与投标响应情况不相符的，以证明材料为准。</w:t>
      </w:r>
    </w:p>
    <w:p>
      <w:pPr>
        <w:rPr>
          <w:rFonts w:ascii="宋体" w:hAnsi="宋体" w:cs="宋体" w:hint="eastAsia"/>
          <w:szCs w:val="21"/>
        </w:rPr>
      </w:pPr>
      <w:r>
        <w:rPr>
          <w:rFonts w:ascii="宋体" w:hAnsi="宋体" w:cs="宋体" w:hint="eastAsia"/>
          <w:szCs w:val="21"/>
        </w:rPr>
        <w:t>5、证明资料（均为扫描件）的提供要求：</w:t>
      </w:r>
    </w:p>
    <w:p>
      <w:pPr>
        <w:rPr>
          <w:rFonts w:ascii="宋体" w:hAnsi="宋体" w:cs="宋体" w:hint="eastAsia"/>
          <w:szCs w:val="21"/>
        </w:rPr>
      </w:pPr>
      <w:r>
        <w:rPr>
          <w:rFonts w:ascii="宋体" w:hAnsi="宋体" w:cs="宋体" w:hint="eastAsia"/>
          <w:szCs w:val="21"/>
        </w:rPr>
        <w:t>（1）产品说明书或彩页应为制造商公布或出具的中文产品说明书或彩页；提供外文说明书或彩页的，必须同时提供制造商出具的对应中文翻译说明，评标依据以中文翻译内容为准，外文说明书或彩页仅供参考；产品说明书或彩页的尺寸和清晰度应该能够在电脑上被阅读、识别和判断；</w:t>
      </w:r>
    </w:p>
    <w:p>
      <w:pPr>
        <w:rPr>
          <w:rFonts w:ascii="宋体" w:hAnsi="宋体" w:cs="宋体" w:hint="eastAsia"/>
          <w:szCs w:val="21"/>
        </w:rPr>
      </w:pPr>
      <w:r>
        <w:rPr>
          <w:rFonts w:ascii="宋体" w:hAnsi="宋体" w:cs="宋体" w:hint="eastAsia"/>
          <w:szCs w:val="21"/>
        </w:rPr>
        <w:t>（2）我国政府机构出具的产品检验和核准证件应为证件有效正面、背面和附件标注的全部具体内容；产品检验和核准证件的尺寸和清晰度应该能够在电脑上被阅读、识别和判断。</w:t>
      </w:r>
    </w:p>
    <w:p>
      <w:pPr>
        <w:rPr>
          <w:rFonts w:ascii="宋体" w:hAnsi="宋体" w:cs="宋体" w:hint="eastAsia"/>
        </w:rPr>
      </w:pPr>
      <w:r>
        <w:rPr>
          <w:rFonts w:ascii="宋体" w:hAnsi="宋体" w:cs="宋体" w:hint="eastAsia"/>
          <w:szCs w:val="21"/>
        </w:rPr>
        <w:t>6、评标委员会有权对以谋取中标为目的的技术规格模糊响应或虚假响应予以认定，并视情况经集中采购机构报市政府采购监督管理部门予以处罚。</w:t>
      </w:r>
    </w:p>
    <w:p>
      <w:pPr>
        <w:widowControl/>
        <w:jc w:val="center"/>
        <w:rPr>
          <w:rFonts w:ascii="宋体" w:hAnsi="宋体" w:cs="宋体" w:hint="eastAsia"/>
          <w:b/>
          <w:bCs/>
          <w:szCs w:val="21"/>
        </w:rPr>
      </w:pPr>
      <w:r>
        <w:rPr>
          <w:rFonts w:ascii="宋体" w:hAnsi="宋体" w:cs="宋体" w:hint="eastAsia"/>
          <w:b/>
          <w:bCs/>
          <w:sz w:val="32"/>
          <w:szCs w:val="32"/>
        </w:rPr>
        <w:t>证明文件附后</w:t>
      </w:r>
      <w:r>
        <w:rPr>
          <w:rFonts w:ascii="宋体" w:hAnsi="宋体" w:cs="宋体" w:hint="eastAsia"/>
          <w:szCs w:val="21"/>
        </w:rPr>
        <w:br w:type="page"/>
      </w:r>
    </w:p>
    <w:p>
      <w:pPr>
        <w:pStyle w:val="Heading4"/>
        <w:jc w:val="center"/>
        <w:rPr>
          <w:rFonts w:ascii="宋体" w:eastAsia="宋体" w:hAnsi="宋体" w:cs="宋体" w:hint="eastAsia"/>
          <w:sz w:val="21"/>
          <w:szCs w:val="21"/>
        </w:rPr>
      </w:pPr>
      <w:r>
        <w:rPr>
          <w:rFonts w:ascii="宋体" w:eastAsia="宋体" w:hAnsi="宋体" w:cs="宋体" w:hint="eastAsia"/>
          <w:sz w:val="21"/>
          <w:szCs w:val="21"/>
        </w:rPr>
        <w:t>七、商务条款偏离表</w:t>
      </w:r>
    </w:p>
    <w:p>
      <w:pPr>
        <w:rPr>
          <w:rFonts w:ascii="宋体" w:hAnsi="宋体" w:cs="宋体" w:hint="eastAsia"/>
        </w:rPr>
      </w:pPr>
      <w:r>
        <w:rPr>
          <w:rFonts w:ascii="宋体" w:hAnsi="宋体" w:cs="宋体" w:hint="eastAsia"/>
        </w:rPr>
        <w:t>重点提示：</w:t>
      </w:r>
      <w:bookmarkStart w:id="33" w:name="_Hlk38746125"/>
      <w:r>
        <w:rPr>
          <w:rFonts w:ascii="宋体" w:hAnsi="宋体" w:cs="宋体" w:hint="eastAsia"/>
        </w:rPr>
        <w:t>商务条款均不允许负偏离，</w:t>
      </w:r>
      <w:r>
        <w:rPr>
          <w:rFonts w:ascii="宋体" w:hAnsi="宋体" w:cs="宋体" w:hint="eastAsia"/>
          <w:bCs/>
          <w:kern w:val="0"/>
          <w:szCs w:val="21"/>
        </w:rPr>
        <w:t>如出现负偏离，将被视为未实质性满足招标文件要求作投标无效处理。</w:t>
      </w:r>
    </w:p>
    <w:tbl>
      <w:tblPr>
        <w:tblStyle w:val="TableNormal"/>
        <w:tblW w:w="4998"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Look w:val="0000"/>
      </w:tblPr>
      <w:tblGrid>
        <w:gridCol w:w="577"/>
        <w:gridCol w:w="4243"/>
        <w:gridCol w:w="1586"/>
        <w:gridCol w:w="1431"/>
        <w:gridCol w:w="689"/>
      </w:tblGrid>
      <w:tr>
        <w:tblPrEx>
          <w:tblW w:w="4998"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Look w:val="0000"/>
        </w:tblPrEx>
        <w:trPr>
          <w:trHeight w:val="397"/>
          <w:jc w:val="center"/>
        </w:trPr>
        <w:tc>
          <w:tcPr>
            <w:tcW w:w="338" w:type="pct"/>
            <w:vAlign w:val="center"/>
          </w:tcPr>
          <w:p>
            <w:pPr>
              <w:jc w:val="center"/>
              <w:rPr>
                <w:rFonts w:ascii="宋体" w:hAnsi="宋体" w:cs="宋体" w:hint="eastAsia"/>
                <w:b/>
                <w:szCs w:val="21"/>
              </w:rPr>
            </w:pPr>
            <w:bookmarkEnd w:id="33"/>
            <w:r>
              <w:rPr>
                <w:rFonts w:ascii="宋体" w:hAnsi="宋体" w:cs="宋体" w:hint="eastAsia"/>
                <w:b/>
                <w:szCs w:val="21"/>
              </w:rPr>
              <w:t>序号</w:t>
            </w:r>
          </w:p>
        </w:tc>
        <w:tc>
          <w:tcPr>
            <w:tcW w:w="2487" w:type="pct"/>
            <w:vAlign w:val="center"/>
          </w:tcPr>
          <w:p>
            <w:pPr>
              <w:jc w:val="center"/>
              <w:rPr>
                <w:rFonts w:ascii="宋体" w:hAnsi="宋体" w:cs="宋体" w:hint="eastAsia"/>
                <w:b/>
                <w:szCs w:val="21"/>
              </w:rPr>
            </w:pPr>
            <w:r>
              <w:rPr>
                <w:rFonts w:ascii="宋体" w:hAnsi="宋体" w:cs="宋体" w:hint="eastAsia"/>
                <w:b/>
                <w:szCs w:val="21"/>
              </w:rPr>
              <w:t>招标商务条款</w:t>
            </w:r>
          </w:p>
        </w:tc>
        <w:tc>
          <w:tcPr>
            <w:tcW w:w="930" w:type="pct"/>
            <w:vAlign w:val="center"/>
          </w:tcPr>
          <w:p>
            <w:pPr>
              <w:jc w:val="center"/>
              <w:rPr>
                <w:rFonts w:ascii="宋体" w:hAnsi="宋体" w:cs="宋体" w:hint="eastAsia"/>
                <w:b/>
                <w:szCs w:val="21"/>
              </w:rPr>
            </w:pPr>
            <w:r>
              <w:rPr>
                <w:rFonts w:ascii="宋体" w:hAnsi="宋体" w:cs="宋体" w:hint="eastAsia"/>
                <w:b/>
                <w:szCs w:val="21"/>
              </w:rPr>
              <w:t>投标响应</w:t>
            </w:r>
          </w:p>
        </w:tc>
        <w:tc>
          <w:tcPr>
            <w:tcW w:w="839" w:type="pct"/>
            <w:vAlign w:val="center"/>
          </w:tcPr>
          <w:p>
            <w:pPr>
              <w:jc w:val="center"/>
              <w:rPr>
                <w:rFonts w:ascii="宋体" w:hAnsi="宋体" w:cs="宋体" w:hint="eastAsia"/>
                <w:b/>
                <w:szCs w:val="21"/>
              </w:rPr>
            </w:pPr>
            <w:r>
              <w:rPr>
                <w:rFonts w:ascii="宋体" w:hAnsi="宋体" w:cs="宋体" w:hint="eastAsia"/>
                <w:b/>
                <w:szCs w:val="21"/>
              </w:rPr>
              <w:t>偏离情况</w:t>
            </w:r>
          </w:p>
        </w:tc>
        <w:tc>
          <w:tcPr>
            <w:tcW w:w="404" w:type="pct"/>
            <w:vAlign w:val="center"/>
          </w:tcPr>
          <w:p>
            <w:pPr>
              <w:jc w:val="center"/>
              <w:rPr>
                <w:rFonts w:ascii="宋体" w:hAnsi="宋体" w:cs="宋体" w:hint="eastAsia"/>
                <w:b/>
                <w:szCs w:val="21"/>
              </w:rPr>
            </w:pPr>
            <w:r>
              <w:rPr>
                <w:rFonts w:ascii="宋体" w:hAnsi="宋体" w:cs="宋体" w:hint="eastAsia"/>
                <w:b/>
                <w:szCs w:val="21"/>
              </w:rPr>
              <w:t>说明</w:t>
            </w:r>
          </w:p>
        </w:tc>
      </w:tr>
      <w:tr>
        <w:tblPrEx>
          <w:tblW w:w="4998" w:type="pct"/>
          <w:jc w:val="center"/>
          <w:tblLayout w:type="fixed"/>
          <w:tblCellMar>
            <w:top w:w="0" w:type="dxa"/>
            <w:left w:w="108" w:type="dxa"/>
            <w:bottom w:w="0" w:type="dxa"/>
            <w:right w:w="108" w:type="dxa"/>
          </w:tblCellMar>
          <w:tblLook w:val="0000"/>
        </w:tblPrEx>
        <w:trPr>
          <w:trHeight w:val="350"/>
          <w:jc w:val="center"/>
        </w:trPr>
        <w:tc>
          <w:tcPr>
            <w:tcW w:w="338" w:type="pct"/>
            <w:vAlign w:val="center"/>
          </w:tcPr>
          <w:p>
            <w:pPr>
              <w:jc w:val="center"/>
              <w:rPr>
                <w:rFonts w:ascii="宋体" w:hAnsi="宋体" w:cs="宋体" w:hint="eastAsia"/>
                <w:b/>
                <w:bCs/>
                <w:szCs w:val="21"/>
              </w:rPr>
            </w:pPr>
            <w:r>
              <w:rPr>
                <w:rFonts w:ascii="宋体" w:hAnsi="宋体" w:cs="宋体" w:hint="eastAsia"/>
                <w:b/>
                <w:bCs/>
                <w:szCs w:val="21"/>
              </w:rPr>
              <w:t>1</w:t>
            </w:r>
          </w:p>
        </w:tc>
        <w:tc>
          <w:tcPr>
            <w:tcW w:w="2487" w:type="pct"/>
            <w:vAlign w:val="center"/>
          </w:tcPr>
          <w:p>
            <w:pPr>
              <w:spacing w:line="460" w:lineRule="exact"/>
              <w:ind w:firstLine="470" w:firstLineChars="196"/>
              <w:rPr>
                <w:rFonts w:ascii="宋体" w:hAnsi="宋体" w:cs="宋体" w:hint="eastAsia"/>
                <w:b/>
                <w:szCs w:val="21"/>
              </w:rPr>
            </w:pPr>
          </w:p>
        </w:tc>
        <w:tc>
          <w:tcPr>
            <w:tcW w:w="930" w:type="pct"/>
          </w:tcPr>
          <w:p>
            <w:pPr>
              <w:tabs>
                <w:tab w:val="left" w:pos="1260"/>
              </w:tabs>
              <w:spacing w:line="340" w:lineRule="exact"/>
              <w:rPr>
                <w:rFonts w:ascii="宋体" w:hAnsi="宋体" w:cs="宋体" w:hint="eastAsia"/>
                <w:szCs w:val="21"/>
              </w:rPr>
            </w:pPr>
            <w:r>
              <w:rPr>
                <w:rFonts w:ascii="宋体" w:hAnsi="宋体" w:cs="宋体" w:hint="eastAsia"/>
                <w:b/>
                <w:color w:val="000000"/>
                <w:szCs w:val="21"/>
              </w:rPr>
              <w:t>说明：</w:t>
            </w:r>
            <w:r>
              <w:rPr>
                <w:rFonts w:ascii="宋体" w:hAnsi="宋体" w:cs="宋体" w:hint="eastAsia"/>
                <w:b/>
                <w:bCs/>
                <w:color w:val="000000"/>
                <w:szCs w:val="21"/>
              </w:rPr>
              <w:t>请依据招标文件第二章招标项目需求中“商务条款”内容填写投标响应</w:t>
            </w:r>
            <w:r>
              <w:rPr>
                <w:rFonts w:ascii="宋体" w:hAnsi="宋体" w:cs="宋体" w:hint="eastAsia"/>
                <w:b/>
                <w:color w:val="000000"/>
                <w:szCs w:val="21"/>
              </w:rPr>
              <w:t>的具体</w:t>
            </w:r>
            <w:r>
              <w:rPr>
                <w:rFonts w:ascii="宋体" w:hAnsi="宋体" w:cs="宋体" w:hint="eastAsia"/>
                <w:b/>
                <w:bCs/>
                <w:color w:val="000000"/>
                <w:szCs w:val="21"/>
              </w:rPr>
              <w:t>内容。</w:t>
            </w:r>
          </w:p>
        </w:tc>
        <w:tc>
          <w:tcPr>
            <w:tcW w:w="839" w:type="pct"/>
          </w:tcPr>
          <w:p>
            <w:pPr>
              <w:tabs>
                <w:tab w:val="left" w:pos="1260"/>
              </w:tabs>
              <w:spacing w:line="340" w:lineRule="exact"/>
              <w:rPr>
                <w:rFonts w:ascii="宋体" w:hAnsi="宋体" w:cs="宋体" w:hint="eastAsia"/>
                <w:szCs w:val="21"/>
              </w:rPr>
            </w:pPr>
            <w:r>
              <w:rPr>
                <w:rFonts w:ascii="宋体" w:hAnsi="宋体" w:cs="宋体" w:hint="eastAsia"/>
                <w:b/>
                <w:szCs w:val="21"/>
              </w:rPr>
              <w:t>“正偏离”、“无偏离”或“负偏离”</w:t>
            </w:r>
          </w:p>
        </w:tc>
        <w:tc>
          <w:tcPr>
            <w:tcW w:w="404" w:type="pct"/>
          </w:tcPr>
          <w:p>
            <w:pPr>
              <w:tabs>
                <w:tab w:val="left" w:pos="1260"/>
              </w:tabs>
              <w:spacing w:line="340" w:lineRule="exact"/>
              <w:rPr>
                <w:rFonts w:ascii="宋体" w:hAnsi="宋体" w:cs="宋体" w:hint="eastAsia"/>
                <w:szCs w:val="21"/>
              </w:rPr>
            </w:pPr>
          </w:p>
        </w:tc>
      </w:tr>
      <w:tr>
        <w:tblPrEx>
          <w:tblW w:w="4998" w:type="pct"/>
          <w:jc w:val="center"/>
          <w:tblLayout w:type="fixed"/>
          <w:tblCellMar>
            <w:top w:w="0" w:type="dxa"/>
            <w:left w:w="108" w:type="dxa"/>
            <w:bottom w:w="0" w:type="dxa"/>
            <w:right w:w="108" w:type="dxa"/>
          </w:tblCellMar>
          <w:tblLook w:val="0000"/>
        </w:tblPrEx>
        <w:trPr>
          <w:trHeight w:val="350"/>
          <w:jc w:val="center"/>
        </w:trPr>
        <w:tc>
          <w:tcPr>
            <w:tcW w:w="338" w:type="pct"/>
            <w:vAlign w:val="center"/>
          </w:tcPr>
          <w:p>
            <w:pPr>
              <w:jc w:val="center"/>
              <w:rPr>
                <w:rFonts w:ascii="宋体" w:hAnsi="宋体" w:cs="宋体" w:hint="eastAsia"/>
                <w:b/>
                <w:bCs/>
                <w:szCs w:val="21"/>
              </w:rPr>
            </w:pPr>
          </w:p>
        </w:tc>
        <w:tc>
          <w:tcPr>
            <w:tcW w:w="2487" w:type="pct"/>
            <w:vAlign w:val="center"/>
          </w:tcPr>
          <w:p>
            <w:pPr>
              <w:spacing w:line="460" w:lineRule="exact"/>
              <w:ind w:firstLine="470" w:firstLineChars="196"/>
              <w:rPr>
                <w:rFonts w:ascii="宋体" w:hAnsi="宋体" w:cs="宋体" w:hint="eastAsia"/>
                <w:b/>
                <w:szCs w:val="21"/>
              </w:rPr>
            </w:pPr>
          </w:p>
        </w:tc>
        <w:tc>
          <w:tcPr>
            <w:tcW w:w="930" w:type="pct"/>
          </w:tcPr>
          <w:p>
            <w:pPr>
              <w:tabs>
                <w:tab w:val="left" w:pos="1260"/>
              </w:tabs>
              <w:spacing w:line="340" w:lineRule="exact"/>
              <w:rPr>
                <w:rFonts w:ascii="宋体" w:hAnsi="宋体" w:cs="宋体" w:hint="eastAsia"/>
                <w:b/>
                <w:color w:val="000000"/>
                <w:szCs w:val="21"/>
              </w:rPr>
            </w:pPr>
          </w:p>
        </w:tc>
        <w:tc>
          <w:tcPr>
            <w:tcW w:w="839" w:type="pct"/>
          </w:tcPr>
          <w:p>
            <w:pPr>
              <w:tabs>
                <w:tab w:val="left" w:pos="1260"/>
              </w:tabs>
              <w:spacing w:line="340" w:lineRule="exact"/>
              <w:rPr>
                <w:rFonts w:ascii="宋体" w:hAnsi="宋体" w:cs="宋体" w:hint="eastAsia"/>
                <w:b/>
                <w:szCs w:val="21"/>
              </w:rPr>
            </w:pPr>
          </w:p>
        </w:tc>
        <w:tc>
          <w:tcPr>
            <w:tcW w:w="404" w:type="pct"/>
          </w:tcPr>
          <w:p>
            <w:pPr>
              <w:tabs>
                <w:tab w:val="left" w:pos="1260"/>
              </w:tabs>
              <w:spacing w:line="340" w:lineRule="exact"/>
              <w:rPr>
                <w:rFonts w:ascii="宋体" w:hAnsi="宋体" w:cs="宋体" w:hint="eastAsia"/>
                <w:szCs w:val="21"/>
              </w:rPr>
            </w:pPr>
          </w:p>
        </w:tc>
      </w:tr>
      <w:tr>
        <w:tblPrEx>
          <w:tblW w:w="4998" w:type="pct"/>
          <w:jc w:val="center"/>
          <w:tblLayout w:type="fixed"/>
          <w:tblCellMar>
            <w:top w:w="0" w:type="dxa"/>
            <w:left w:w="108" w:type="dxa"/>
            <w:bottom w:w="0" w:type="dxa"/>
            <w:right w:w="108" w:type="dxa"/>
          </w:tblCellMar>
          <w:tblLook w:val="0000"/>
        </w:tblPrEx>
        <w:trPr>
          <w:trHeight w:val="350"/>
          <w:jc w:val="center"/>
        </w:trPr>
        <w:tc>
          <w:tcPr>
            <w:tcW w:w="338" w:type="pct"/>
            <w:vAlign w:val="center"/>
          </w:tcPr>
          <w:p>
            <w:pPr>
              <w:jc w:val="center"/>
              <w:rPr>
                <w:rFonts w:ascii="宋体" w:hAnsi="宋体" w:cs="宋体" w:hint="eastAsia"/>
                <w:b/>
                <w:bCs/>
                <w:szCs w:val="21"/>
              </w:rPr>
            </w:pPr>
          </w:p>
        </w:tc>
        <w:tc>
          <w:tcPr>
            <w:tcW w:w="2487" w:type="pct"/>
            <w:vAlign w:val="center"/>
          </w:tcPr>
          <w:p>
            <w:pPr>
              <w:spacing w:line="460" w:lineRule="exact"/>
              <w:ind w:firstLine="470" w:firstLineChars="196"/>
              <w:rPr>
                <w:rFonts w:ascii="宋体" w:hAnsi="宋体" w:cs="宋体" w:hint="eastAsia"/>
                <w:b/>
                <w:szCs w:val="21"/>
              </w:rPr>
            </w:pPr>
          </w:p>
        </w:tc>
        <w:tc>
          <w:tcPr>
            <w:tcW w:w="930" w:type="pct"/>
          </w:tcPr>
          <w:p>
            <w:pPr>
              <w:tabs>
                <w:tab w:val="left" w:pos="1260"/>
              </w:tabs>
              <w:spacing w:line="340" w:lineRule="exact"/>
              <w:rPr>
                <w:rFonts w:ascii="宋体" w:hAnsi="宋体" w:cs="宋体" w:hint="eastAsia"/>
                <w:b/>
                <w:color w:val="000000"/>
                <w:szCs w:val="21"/>
              </w:rPr>
            </w:pPr>
          </w:p>
        </w:tc>
        <w:tc>
          <w:tcPr>
            <w:tcW w:w="839" w:type="pct"/>
          </w:tcPr>
          <w:p>
            <w:pPr>
              <w:tabs>
                <w:tab w:val="left" w:pos="1260"/>
              </w:tabs>
              <w:spacing w:line="340" w:lineRule="exact"/>
              <w:rPr>
                <w:rFonts w:ascii="宋体" w:hAnsi="宋体" w:cs="宋体" w:hint="eastAsia"/>
                <w:b/>
                <w:szCs w:val="21"/>
              </w:rPr>
            </w:pPr>
          </w:p>
        </w:tc>
        <w:tc>
          <w:tcPr>
            <w:tcW w:w="404" w:type="pct"/>
          </w:tcPr>
          <w:p>
            <w:pPr>
              <w:tabs>
                <w:tab w:val="left" w:pos="1260"/>
              </w:tabs>
              <w:spacing w:line="340" w:lineRule="exact"/>
              <w:rPr>
                <w:rFonts w:ascii="宋体" w:hAnsi="宋体" w:cs="宋体" w:hint="eastAsia"/>
                <w:szCs w:val="21"/>
              </w:rPr>
            </w:pPr>
          </w:p>
        </w:tc>
      </w:tr>
      <w:tr>
        <w:tblPrEx>
          <w:tblW w:w="4998" w:type="pct"/>
          <w:jc w:val="center"/>
          <w:tblLayout w:type="fixed"/>
          <w:tblCellMar>
            <w:top w:w="0" w:type="dxa"/>
            <w:left w:w="108" w:type="dxa"/>
            <w:bottom w:w="0" w:type="dxa"/>
            <w:right w:w="108" w:type="dxa"/>
          </w:tblCellMar>
          <w:tblLook w:val="0000"/>
        </w:tblPrEx>
        <w:trPr>
          <w:trHeight w:val="350"/>
          <w:jc w:val="center"/>
        </w:trPr>
        <w:tc>
          <w:tcPr>
            <w:tcW w:w="338" w:type="pct"/>
            <w:vAlign w:val="center"/>
          </w:tcPr>
          <w:p>
            <w:pPr>
              <w:jc w:val="center"/>
              <w:rPr>
                <w:rFonts w:ascii="宋体" w:hAnsi="宋体" w:cs="宋体" w:hint="eastAsia"/>
                <w:b/>
                <w:bCs/>
                <w:szCs w:val="21"/>
              </w:rPr>
            </w:pPr>
          </w:p>
        </w:tc>
        <w:tc>
          <w:tcPr>
            <w:tcW w:w="2487" w:type="pct"/>
            <w:vAlign w:val="center"/>
          </w:tcPr>
          <w:p>
            <w:pPr>
              <w:spacing w:line="460" w:lineRule="exact"/>
              <w:ind w:firstLine="470" w:firstLineChars="196"/>
              <w:rPr>
                <w:rFonts w:ascii="宋体" w:hAnsi="宋体" w:cs="宋体" w:hint="eastAsia"/>
                <w:b/>
                <w:szCs w:val="21"/>
              </w:rPr>
            </w:pPr>
          </w:p>
        </w:tc>
        <w:tc>
          <w:tcPr>
            <w:tcW w:w="930" w:type="pct"/>
          </w:tcPr>
          <w:p>
            <w:pPr>
              <w:tabs>
                <w:tab w:val="left" w:pos="1260"/>
              </w:tabs>
              <w:spacing w:line="340" w:lineRule="exact"/>
              <w:rPr>
                <w:rFonts w:ascii="宋体" w:hAnsi="宋体" w:cs="宋体" w:hint="eastAsia"/>
                <w:b/>
                <w:color w:val="000000"/>
                <w:szCs w:val="21"/>
              </w:rPr>
            </w:pPr>
          </w:p>
        </w:tc>
        <w:tc>
          <w:tcPr>
            <w:tcW w:w="839" w:type="pct"/>
          </w:tcPr>
          <w:p>
            <w:pPr>
              <w:tabs>
                <w:tab w:val="left" w:pos="1260"/>
              </w:tabs>
              <w:spacing w:line="340" w:lineRule="exact"/>
              <w:rPr>
                <w:rFonts w:ascii="宋体" w:hAnsi="宋体" w:cs="宋体" w:hint="eastAsia"/>
                <w:b/>
                <w:szCs w:val="21"/>
              </w:rPr>
            </w:pPr>
          </w:p>
        </w:tc>
        <w:tc>
          <w:tcPr>
            <w:tcW w:w="404" w:type="pct"/>
          </w:tcPr>
          <w:p>
            <w:pPr>
              <w:tabs>
                <w:tab w:val="left" w:pos="1260"/>
              </w:tabs>
              <w:spacing w:line="340" w:lineRule="exact"/>
              <w:rPr>
                <w:rFonts w:ascii="宋体" w:hAnsi="宋体" w:cs="宋体" w:hint="eastAsia"/>
                <w:szCs w:val="21"/>
              </w:rPr>
            </w:pPr>
          </w:p>
        </w:tc>
      </w:tr>
    </w:tbl>
    <w:p>
      <w:pPr>
        <w:rPr>
          <w:rFonts w:ascii="宋体" w:hAnsi="宋体" w:cs="宋体" w:hint="eastAsia"/>
          <w:sz w:val="24"/>
        </w:rPr>
      </w:pPr>
      <w:r>
        <w:rPr>
          <w:rFonts w:ascii="宋体" w:hAnsi="宋体" w:cs="宋体" w:hint="eastAsia"/>
          <w:sz w:val="24"/>
        </w:rPr>
        <w:t>备注：</w:t>
      </w:r>
    </w:p>
    <w:p>
      <w:pPr>
        <w:rPr>
          <w:rFonts w:ascii="宋体" w:hAnsi="宋体" w:cs="宋体" w:hint="eastAsia"/>
          <w:b/>
          <w:color w:val="000000"/>
          <w:szCs w:val="21"/>
        </w:rPr>
      </w:pPr>
      <w:r>
        <w:rPr>
          <w:rFonts w:ascii="宋体" w:hAnsi="宋体" w:cs="宋体" w:hint="eastAsia"/>
          <w:b/>
          <w:color w:val="000000"/>
          <w:szCs w:val="21"/>
        </w:rPr>
        <w:t>1. “招标商务需求”一栏必须填写招标文件第二章“商务条款”的内容进行填写。</w:t>
      </w:r>
    </w:p>
    <w:p>
      <w:pPr>
        <w:rPr>
          <w:rFonts w:ascii="宋体" w:hAnsi="宋体" w:cs="宋体" w:hint="eastAsia"/>
          <w:b/>
          <w:color w:val="000000"/>
          <w:szCs w:val="21"/>
        </w:rPr>
      </w:pPr>
      <w:r>
        <w:rPr>
          <w:rFonts w:ascii="宋体" w:hAnsi="宋体" w:cs="宋体" w:hint="eastAsia"/>
          <w:b/>
          <w:color w:val="000000"/>
          <w:szCs w:val="21"/>
        </w:rPr>
        <w:t>2. “投标商务条款”一栏必须详细填写投标商务条款的内容。</w:t>
      </w:r>
    </w:p>
    <w:p>
      <w:pPr>
        <w:rPr>
          <w:rFonts w:ascii="宋体" w:hAnsi="宋体" w:cs="宋体" w:hint="eastAsia"/>
          <w:color w:val="000000"/>
          <w:szCs w:val="21"/>
        </w:rPr>
      </w:pPr>
      <w:r>
        <w:rPr>
          <w:rFonts w:ascii="宋体" w:hAnsi="宋体" w:cs="宋体" w:hint="eastAsia"/>
          <w:b/>
          <w:color w:val="000000"/>
          <w:szCs w:val="21"/>
        </w:rPr>
        <w:t>3. “偏离情况”栏中应如</w:t>
      </w:r>
      <w:bookmarkStart w:id="34" w:name="_GoBack"/>
      <w:bookmarkEnd w:id="34"/>
      <w:r>
        <w:rPr>
          <w:rFonts w:ascii="宋体" w:hAnsi="宋体" w:cs="宋体" w:hint="eastAsia"/>
          <w:b/>
          <w:color w:val="000000"/>
          <w:szCs w:val="21"/>
        </w:rPr>
        <w:t>实填写“正偏离”、“负偏离”或“无偏离”。</w:t>
      </w:r>
    </w:p>
    <w:p>
      <w:pPr>
        <w:rPr>
          <w:rFonts w:ascii="宋体" w:hAnsi="宋体" w:cs="宋体" w:hint="eastAsia"/>
          <w:b/>
          <w:color w:val="000000"/>
          <w:szCs w:val="21"/>
        </w:rPr>
      </w:pPr>
      <w:r>
        <w:rPr>
          <w:rFonts w:ascii="宋体" w:hAnsi="宋体" w:cs="宋体" w:hint="eastAsia"/>
          <w:b/>
          <w:color w:val="000000"/>
          <w:szCs w:val="21"/>
        </w:rPr>
        <w:t>4. 交货期条款为不可负偏离条款，投标文件响应为“负偏离”的，投标文件将按无效投标处理。</w:t>
      </w:r>
    </w:p>
    <w:p>
      <w:pPr>
        <w:rPr>
          <w:rFonts w:hint="eastAsia"/>
        </w:rPr>
      </w:pPr>
    </w:p>
    <w:p>
      <w:pPr>
        <w:pStyle w:val="PlainText"/>
        <w:rPr>
          <w:rFonts w:hint="eastAsia"/>
        </w:rPr>
      </w:pPr>
    </w:p>
    <w:p>
      <w:pPr>
        <w:pStyle w:val="Default"/>
        <w:rPr>
          <w:rFonts w:hint="eastAsia"/>
        </w:rPr>
      </w:pPr>
    </w:p>
    <w:p>
      <w:pPr>
        <w:pStyle w:val="Heading4"/>
        <w:jc w:val="center"/>
        <w:rPr>
          <w:rFonts w:ascii="宋体" w:eastAsia="宋体" w:hAnsi="宋体" w:cs="宋体" w:hint="eastAsia"/>
          <w:sz w:val="21"/>
          <w:szCs w:val="21"/>
        </w:rPr>
      </w:pPr>
      <w:r>
        <w:rPr>
          <w:rFonts w:ascii="宋体" w:eastAsia="宋体" w:hAnsi="宋体" w:cs="宋体" w:hint="eastAsia"/>
          <w:sz w:val="21"/>
          <w:szCs w:val="21"/>
        </w:rPr>
        <w:t>八、技术保障措施（格式自定）</w:t>
      </w:r>
    </w:p>
    <w:p>
      <w:pPr>
        <w:pStyle w:val="Heading4"/>
        <w:jc w:val="center"/>
        <w:rPr>
          <w:rFonts w:ascii="宋体" w:eastAsia="宋体" w:hAnsi="宋体" w:cs="宋体" w:hint="eastAsia"/>
          <w:sz w:val="21"/>
          <w:szCs w:val="21"/>
        </w:rPr>
      </w:pPr>
      <w:r>
        <w:rPr>
          <w:rFonts w:ascii="宋体" w:eastAsia="宋体" w:hAnsi="宋体" w:cs="宋体" w:hint="eastAsia"/>
          <w:sz w:val="21"/>
          <w:szCs w:val="21"/>
        </w:rPr>
        <w:t>九、投标人近三年同类业绩（格式自定）</w:t>
      </w:r>
    </w:p>
    <w:p>
      <w:pPr>
        <w:pStyle w:val="Heading4"/>
        <w:jc w:val="center"/>
        <w:rPr>
          <w:rFonts w:ascii="宋体" w:eastAsia="宋体" w:hAnsi="宋体" w:cs="宋体" w:hint="eastAsia"/>
          <w:sz w:val="21"/>
          <w:szCs w:val="21"/>
        </w:rPr>
      </w:pPr>
      <w:r>
        <w:rPr>
          <w:rFonts w:ascii="宋体" w:eastAsia="宋体" w:hAnsi="宋体" w:cs="宋体" w:hint="eastAsia"/>
          <w:sz w:val="21"/>
          <w:szCs w:val="21"/>
        </w:rPr>
        <w:t>十、其它招标文件要求的内容及投标人认为需要补充的内容（格式自定）</w:t>
      </w:r>
    </w:p>
    <w:p>
      <w:pPr>
        <w:rPr>
          <w:rFonts w:ascii="宋体" w:hAnsi="宋体" w:cs="宋体" w:hint="eastAsia"/>
        </w:rPr>
      </w:pPr>
      <w:r>
        <w:rPr>
          <w:rFonts w:ascii="宋体" w:hAnsi="宋体" w:cs="宋体" w:hint="eastAsia"/>
        </w:rPr>
        <w:br w:type="page"/>
      </w:r>
    </w:p>
    <w:p>
      <w:pPr>
        <w:pStyle w:val="Heading2"/>
        <w:rPr>
          <w:rFonts w:cs="宋体" w:hint="eastAsia"/>
          <w:sz w:val="28"/>
          <w:szCs w:val="21"/>
        </w:rPr>
      </w:pPr>
      <w:r>
        <w:rPr>
          <w:rFonts w:cs="宋体" w:hint="eastAsia"/>
          <w:sz w:val="28"/>
          <w:szCs w:val="21"/>
        </w:rPr>
        <w:t>第四章 合同及履约情况反馈格式</w:t>
      </w:r>
    </w:p>
    <w:p>
      <w:pPr>
        <w:ind w:firstLine="470" w:firstLineChars="196"/>
        <w:rPr>
          <w:rFonts w:ascii="宋体" w:hAnsi="宋体" w:cs="宋体" w:hint="eastAsia"/>
        </w:rPr>
      </w:pPr>
    </w:p>
    <w:p>
      <w:pPr>
        <w:snapToGrid w:val="0"/>
        <w:spacing w:line="560" w:lineRule="exact"/>
        <w:jc w:val="center"/>
        <w:rPr>
          <w:rFonts w:ascii="宋体" w:hAnsi="宋体"/>
          <w:b/>
          <w:bCs/>
          <w:color w:val="000000"/>
          <w:sz w:val="44"/>
          <w:szCs w:val="44"/>
        </w:rPr>
      </w:pPr>
      <w:r>
        <w:rPr>
          <w:rFonts w:ascii="宋体" w:hAnsi="宋体"/>
          <w:b/>
          <w:bCs/>
          <w:color w:val="000000"/>
          <w:sz w:val="44"/>
          <w:szCs w:val="44"/>
        </w:rPr>
        <w:t>购 销 合 同</w:t>
      </w:r>
    </w:p>
    <w:p>
      <w:pPr>
        <w:snapToGrid w:val="0"/>
        <w:spacing w:line="560" w:lineRule="exact"/>
        <w:ind w:firstLine="2520" w:firstLineChars="1050"/>
        <w:rPr>
          <w:rFonts w:ascii="宋体" w:hAnsi="宋体"/>
          <w:color w:val="000000"/>
          <w:sz w:val="28"/>
          <w:szCs w:val="28"/>
        </w:rPr>
      </w:pPr>
      <w:r>
        <w:rPr>
          <w:rFonts w:ascii="宋体" w:hAnsi="宋体"/>
          <w:color w:val="000000"/>
          <w:sz w:val="28"/>
          <w:szCs w:val="28"/>
        </w:rPr>
        <w:t>合同编号：</w:t>
      </w:r>
    </w:p>
    <w:p>
      <w:pPr>
        <w:snapToGrid w:val="0"/>
        <w:spacing w:line="560" w:lineRule="exact"/>
        <w:rPr>
          <w:rFonts w:ascii="宋体" w:hAnsi="宋体"/>
          <w:color w:val="000000"/>
          <w:sz w:val="28"/>
          <w:szCs w:val="28"/>
        </w:rPr>
      </w:pPr>
      <w:r>
        <w:rPr>
          <w:rFonts w:ascii="宋体" w:hAnsi="宋体"/>
          <w:color w:val="000000"/>
          <w:sz w:val="28"/>
          <w:szCs w:val="28"/>
        </w:rPr>
        <w:t xml:space="preserve">                     项目名称：</w:t>
      </w:r>
    </w:p>
    <w:p>
      <w:pPr>
        <w:snapToGrid w:val="0"/>
        <w:spacing w:line="560" w:lineRule="exact"/>
        <w:ind w:firstLine="3360" w:firstLineChars="1400"/>
        <w:rPr>
          <w:rFonts w:ascii="宋体" w:hAnsi="宋体"/>
          <w:color w:val="000000"/>
          <w:sz w:val="28"/>
          <w:szCs w:val="28"/>
        </w:rPr>
      </w:pPr>
    </w:p>
    <w:p>
      <w:pPr>
        <w:snapToGrid w:val="0"/>
        <w:spacing w:line="560" w:lineRule="exact"/>
        <w:jc w:val="center"/>
        <w:rPr>
          <w:rFonts w:ascii="宋体" w:hAnsi="宋体"/>
          <w:b/>
          <w:bCs/>
          <w:color w:val="000000"/>
          <w:sz w:val="28"/>
          <w:szCs w:val="28"/>
        </w:rPr>
      </w:pPr>
      <w:r>
        <w:rPr>
          <w:rFonts w:ascii="宋体" w:hAnsi="宋体"/>
          <w:b/>
          <w:bCs/>
          <w:color w:val="000000"/>
          <w:sz w:val="28"/>
          <w:szCs w:val="28"/>
        </w:rPr>
        <w:t>甲方（采购人）：</w:t>
      </w:r>
      <w:r>
        <w:rPr>
          <w:rFonts w:eastAsia="Times New Roman"/>
          <w:b/>
          <w:bCs/>
          <w:color w:val="000000"/>
          <w:sz w:val="28"/>
          <w:szCs w:val="28"/>
        </w:rPr>
        <w:t xml:space="preserve"> </w:t>
      </w:r>
      <w:r>
        <w:rPr>
          <w:rFonts w:ascii="宋体" w:hAnsi="宋体"/>
          <w:b/>
          <w:bCs/>
          <w:color w:val="000000"/>
          <w:sz w:val="28"/>
          <w:szCs w:val="28"/>
        </w:rPr>
        <w:t>深圳职业技术学院</w:t>
      </w:r>
    </w:p>
    <w:p>
      <w:pPr>
        <w:snapToGrid w:val="0"/>
        <w:spacing w:line="560" w:lineRule="exact"/>
        <w:ind w:firstLine="1656" w:firstLineChars="690"/>
        <w:rPr>
          <w:rFonts w:ascii="宋体" w:hAnsi="宋体"/>
          <w:b/>
          <w:bCs/>
          <w:color w:val="000000"/>
          <w:sz w:val="28"/>
          <w:szCs w:val="28"/>
        </w:rPr>
      </w:pPr>
      <w:r>
        <w:rPr>
          <w:rFonts w:ascii="宋体" w:hAnsi="宋体"/>
          <w:b/>
          <w:bCs/>
          <w:color w:val="000000"/>
          <w:sz w:val="28"/>
          <w:szCs w:val="28"/>
        </w:rPr>
        <w:t>乙方（供应商）：</w:t>
      </w:r>
    </w:p>
    <w:p>
      <w:pPr>
        <w:snapToGrid w:val="0"/>
        <w:spacing w:line="560" w:lineRule="exact"/>
        <w:ind w:firstLine="3360" w:firstLineChars="1400"/>
        <w:rPr>
          <w:rFonts w:ascii="宋体" w:hAnsi="宋体"/>
          <w:color w:val="000000"/>
          <w:sz w:val="20"/>
          <w:szCs w:val="20"/>
        </w:rPr>
      </w:pPr>
    </w:p>
    <w:p>
      <w:pPr>
        <w:snapToGrid w:val="0"/>
        <w:spacing w:line="560" w:lineRule="exact"/>
        <w:ind w:firstLine="3360" w:firstLineChars="1400"/>
        <w:rPr>
          <w:rFonts w:ascii="宋体" w:hAnsi="宋体"/>
          <w:color w:val="000000"/>
          <w:sz w:val="20"/>
          <w:szCs w:val="20"/>
        </w:rPr>
      </w:pPr>
    </w:p>
    <w:p>
      <w:pPr>
        <w:snapToGrid w:val="0"/>
        <w:spacing w:line="560" w:lineRule="exact"/>
        <w:ind w:firstLine="3360" w:firstLineChars="1400"/>
        <w:rPr>
          <w:rFonts w:ascii="宋体" w:hAnsi="宋体"/>
          <w:color w:val="000000"/>
          <w:sz w:val="20"/>
          <w:szCs w:val="20"/>
        </w:rPr>
      </w:pPr>
    </w:p>
    <w:p>
      <w:pPr>
        <w:snapToGrid w:val="0"/>
        <w:spacing w:line="560" w:lineRule="exact"/>
        <w:ind w:firstLine="3360" w:firstLineChars="1400"/>
        <w:rPr>
          <w:rFonts w:ascii="宋体" w:hAnsi="宋体"/>
          <w:color w:val="000000"/>
          <w:sz w:val="20"/>
          <w:szCs w:val="20"/>
        </w:rPr>
      </w:pPr>
    </w:p>
    <w:p>
      <w:pPr>
        <w:snapToGrid w:val="0"/>
        <w:spacing w:line="560" w:lineRule="exact"/>
        <w:rPr>
          <w:rFonts w:eastAsia="Times New Roman"/>
          <w:color w:val="000000"/>
          <w:sz w:val="20"/>
          <w:szCs w:val="20"/>
        </w:rPr>
      </w:pPr>
      <w:r>
        <w:rPr>
          <w:rFonts w:eastAsia="Times New Roman"/>
          <w:color w:val="000000"/>
          <w:sz w:val="20"/>
          <w:szCs w:val="20"/>
        </w:rPr>
        <w:t xml:space="preserve">                         </w:t>
      </w:r>
    </w:p>
    <w:p>
      <w:pPr>
        <w:snapToGrid w:val="0"/>
        <w:spacing w:line="560" w:lineRule="exact"/>
        <w:ind w:firstLine="3360" w:firstLineChars="1400"/>
        <w:rPr>
          <w:rFonts w:eastAsia="Times New Roman"/>
          <w:color w:val="000000"/>
          <w:sz w:val="20"/>
          <w:szCs w:val="20"/>
        </w:rPr>
      </w:pPr>
      <w:r>
        <w:rPr>
          <w:rFonts w:eastAsia="Times New Roman"/>
          <w:color w:val="000000"/>
          <w:sz w:val="20"/>
          <w:szCs w:val="20"/>
        </w:rPr>
        <w:t xml:space="preserve">   </w:t>
      </w:r>
    </w:p>
    <w:p>
      <w:pPr>
        <w:snapToGrid w:val="0"/>
        <w:spacing w:line="460" w:lineRule="exact"/>
        <w:rPr>
          <w:rFonts w:ascii="宋体" w:hAnsi="宋体"/>
          <w:color w:val="000000"/>
          <w:sz w:val="18"/>
          <w:szCs w:val="18"/>
        </w:rPr>
      </w:pPr>
    </w:p>
    <w:p>
      <w:pPr>
        <w:snapToGrid w:val="0"/>
        <w:spacing w:line="460" w:lineRule="exact"/>
        <w:rPr>
          <w:rFonts w:ascii="宋体" w:hAnsi="宋体"/>
          <w:color w:val="000000"/>
          <w:sz w:val="18"/>
          <w:szCs w:val="18"/>
        </w:rPr>
      </w:pPr>
    </w:p>
    <w:p>
      <w:pPr>
        <w:snapToGrid w:val="0"/>
        <w:spacing w:line="460" w:lineRule="exact"/>
        <w:rPr>
          <w:rFonts w:ascii="宋体" w:hAnsi="宋体"/>
          <w:color w:val="000000"/>
          <w:sz w:val="18"/>
          <w:szCs w:val="18"/>
        </w:rPr>
      </w:pPr>
    </w:p>
    <w:p>
      <w:pPr>
        <w:snapToGrid w:val="0"/>
        <w:jc w:val="center"/>
        <w:rPr>
          <w:rFonts w:ascii="宋体" w:hAnsi="宋体"/>
          <w:color w:val="000000"/>
          <w:sz w:val="20"/>
          <w:szCs w:val="20"/>
        </w:rPr>
      </w:pPr>
      <w:r>
        <w:rPr>
          <w:rFonts w:ascii="微软雅黑" w:eastAsia="微软雅黑" w:hAnsi="微软雅黑"/>
          <w:color w:val="000000"/>
          <w:szCs w:val="21"/>
        </w:rPr>
        <w:pict>
          <v:shape id="图片 9" o:spid="_x0000_i1033" type="#_x0000_t75" style="height:36.73pt;mso-position-horizontal-relative:page;mso-position-vertical-relative:page;mso-wrap-style:square;width:36.73pt" o:preferrelative="t" filled="f" stroked="f">
            <v:stroke linestyle="single"/>
            <v:imagedata r:id="rId6" o:title=""/>
            <v:path o:extrusionok="f"/>
            <o:lock v:ext="edit" aspectratio="t"/>
          </v:shape>
        </w:pict>
      </w:r>
    </w:p>
    <w:p>
      <w:pPr>
        <w:snapToGrid w:val="0"/>
        <w:spacing w:line="460" w:lineRule="exact"/>
        <w:jc w:val="center"/>
        <w:rPr>
          <w:rFonts w:ascii="华文隶书" w:eastAsia="华文隶书" w:hAnsi="华文隶书"/>
          <w:b/>
          <w:bCs/>
          <w:color w:val="000000"/>
          <w:sz w:val="20"/>
          <w:szCs w:val="20"/>
        </w:rPr>
      </w:pPr>
      <w:r>
        <w:rPr>
          <w:rFonts w:ascii="华文隶书" w:eastAsia="华文隶书" w:hAnsi="华文隶书"/>
          <w:b/>
          <w:bCs/>
          <w:color w:val="000000"/>
          <w:sz w:val="20"/>
          <w:szCs w:val="20"/>
        </w:rPr>
        <w:t>深</w:t>
      </w:r>
      <w:r>
        <w:rPr>
          <w:rFonts w:eastAsia="Times New Roman"/>
          <w:b/>
          <w:bCs/>
          <w:color w:val="000000"/>
          <w:sz w:val="20"/>
          <w:szCs w:val="20"/>
        </w:rPr>
        <w:t xml:space="preserve"> </w:t>
      </w:r>
      <w:r>
        <w:rPr>
          <w:rFonts w:ascii="华文隶书" w:eastAsia="华文隶书" w:hAnsi="华文隶书"/>
          <w:b/>
          <w:bCs/>
          <w:color w:val="000000"/>
          <w:sz w:val="20"/>
          <w:szCs w:val="20"/>
        </w:rPr>
        <w:t>圳</w:t>
      </w:r>
      <w:r>
        <w:rPr>
          <w:rFonts w:eastAsia="Times New Roman"/>
          <w:b/>
          <w:bCs/>
          <w:color w:val="000000"/>
          <w:sz w:val="20"/>
          <w:szCs w:val="20"/>
        </w:rPr>
        <w:t xml:space="preserve"> </w:t>
      </w:r>
      <w:r>
        <w:rPr>
          <w:rFonts w:ascii="华文隶书" w:eastAsia="华文隶书" w:hAnsi="华文隶书"/>
          <w:b/>
          <w:bCs/>
          <w:color w:val="000000"/>
          <w:sz w:val="20"/>
          <w:szCs w:val="20"/>
        </w:rPr>
        <w:t>职</w:t>
      </w:r>
      <w:r>
        <w:rPr>
          <w:rFonts w:eastAsia="Times New Roman"/>
          <w:b/>
          <w:bCs/>
          <w:color w:val="000000"/>
          <w:sz w:val="20"/>
          <w:szCs w:val="20"/>
        </w:rPr>
        <w:t xml:space="preserve"> </w:t>
      </w:r>
      <w:r>
        <w:rPr>
          <w:rFonts w:ascii="华文隶书" w:eastAsia="华文隶书" w:hAnsi="华文隶书"/>
          <w:b/>
          <w:bCs/>
          <w:color w:val="000000"/>
          <w:sz w:val="20"/>
          <w:szCs w:val="20"/>
        </w:rPr>
        <w:t>业</w:t>
      </w:r>
      <w:r>
        <w:rPr>
          <w:rFonts w:eastAsia="Times New Roman"/>
          <w:b/>
          <w:bCs/>
          <w:color w:val="000000"/>
          <w:sz w:val="20"/>
          <w:szCs w:val="20"/>
        </w:rPr>
        <w:t xml:space="preserve"> </w:t>
      </w:r>
      <w:r>
        <w:rPr>
          <w:rFonts w:ascii="华文隶书" w:eastAsia="华文隶书" w:hAnsi="华文隶书"/>
          <w:b/>
          <w:bCs/>
          <w:color w:val="000000"/>
          <w:sz w:val="20"/>
          <w:szCs w:val="20"/>
        </w:rPr>
        <w:t>技</w:t>
      </w:r>
      <w:r>
        <w:rPr>
          <w:rFonts w:eastAsia="Times New Roman"/>
          <w:b/>
          <w:bCs/>
          <w:color w:val="000000"/>
          <w:sz w:val="20"/>
          <w:szCs w:val="20"/>
        </w:rPr>
        <w:t xml:space="preserve"> </w:t>
      </w:r>
      <w:r>
        <w:rPr>
          <w:rFonts w:ascii="华文隶书" w:eastAsia="华文隶书" w:hAnsi="华文隶书"/>
          <w:b/>
          <w:bCs/>
          <w:color w:val="000000"/>
          <w:sz w:val="20"/>
          <w:szCs w:val="20"/>
        </w:rPr>
        <w:t>术</w:t>
      </w:r>
      <w:r>
        <w:rPr>
          <w:rFonts w:eastAsia="Times New Roman"/>
          <w:b/>
          <w:bCs/>
          <w:color w:val="000000"/>
          <w:sz w:val="20"/>
          <w:szCs w:val="20"/>
        </w:rPr>
        <w:t xml:space="preserve"> </w:t>
      </w:r>
      <w:r>
        <w:rPr>
          <w:rFonts w:ascii="华文隶书" w:eastAsia="华文隶书" w:hAnsi="华文隶书"/>
          <w:b/>
          <w:bCs/>
          <w:color w:val="000000"/>
          <w:sz w:val="20"/>
          <w:szCs w:val="20"/>
        </w:rPr>
        <w:t>学</w:t>
      </w:r>
      <w:r>
        <w:rPr>
          <w:rFonts w:eastAsia="Times New Roman"/>
          <w:b/>
          <w:bCs/>
          <w:color w:val="000000"/>
          <w:sz w:val="20"/>
          <w:szCs w:val="20"/>
        </w:rPr>
        <w:t xml:space="preserve"> </w:t>
      </w:r>
      <w:r>
        <w:rPr>
          <w:rFonts w:ascii="华文隶书" w:eastAsia="华文隶书" w:hAnsi="华文隶书"/>
          <w:b/>
          <w:bCs/>
          <w:color w:val="000000"/>
          <w:sz w:val="20"/>
          <w:szCs w:val="20"/>
        </w:rPr>
        <w:t>院</w:t>
      </w:r>
    </w:p>
    <w:p>
      <w:pPr>
        <w:pStyle w:val="Heading2"/>
        <w:snapToGrid w:val="0"/>
        <w:spacing w:line="460" w:lineRule="exact"/>
        <w:ind w:firstLine="3360" w:firstLineChars="1400"/>
        <w:jc w:val="both"/>
        <w:rPr>
          <w:rFonts w:ascii="Times New Roman" w:eastAsia="Times New Roman" w:hAnsi="Times New Roman"/>
          <w:color w:val="000000"/>
          <w:sz w:val="20"/>
        </w:rPr>
      </w:pPr>
      <w:r>
        <w:rPr>
          <w:rFonts w:ascii="Times New Roman" w:eastAsia="Times New Roman" w:hAnsi="Times New Roman"/>
          <w:color w:val="000000"/>
          <w:sz w:val="20"/>
        </w:rPr>
        <w:t>SHENZHEN  POLYTECHNIC</w:t>
      </w:r>
    </w:p>
    <w:p>
      <w:pPr>
        <w:snapToGrid w:val="0"/>
        <w:spacing w:line="560" w:lineRule="exact"/>
        <w:rPr>
          <w:rFonts w:ascii="宋体" w:hAnsi="宋体"/>
          <w:color w:val="000000"/>
          <w:sz w:val="30"/>
          <w:szCs w:val="30"/>
        </w:rPr>
      </w:pPr>
    </w:p>
    <w:p>
      <w:pPr>
        <w:snapToGrid w:val="0"/>
        <w:spacing w:line="460" w:lineRule="exact"/>
        <w:jc w:val="center"/>
        <w:rPr>
          <w:rFonts w:ascii="华文琥珀" w:eastAsia="华文琥珀" w:hAnsi="华文琥珀"/>
          <w:b/>
          <w:bCs/>
          <w:color w:val="000000"/>
          <w:sz w:val="30"/>
          <w:szCs w:val="30"/>
        </w:rPr>
      </w:pPr>
      <w:r>
        <w:rPr>
          <w:rFonts w:ascii="华文琥珀" w:eastAsia="华文琥珀" w:hAnsi="华文琥珀"/>
          <w:b/>
          <w:bCs/>
          <w:color w:val="000000"/>
          <w:sz w:val="30"/>
          <w:szCs w:val="30"/>
        </w:rPr>
        <w:t>购</w:t>
      </w:r>
      <w:r>
        <w:rPr>
          <w:rFonts w:eastAsia="Times New Roman"/>
          <w:b/>
          <w:bCs/>
          <w:color w:val="000000"/>
          <w:sz w:val="30"/>
          <w:szCs w:val="30"/>
        </w:rPr>
        <w:t xml:space="preserve"> </w:t>
      </w:r>
      <w:r>
        <w:rPr>
          <w:rFonts w:ascii="华文琥珀" w:eastAsia="华文琥珀" w:hAnsi="华文琥珀"/>
          <w:b/>
          <w:bCs/>
          <w:color w:val="000000"/>
          <w:sz w:val="30"/>
          <w:szCs w:val="30"/>
        </w:rPr>
        <w:t>销</w:t>
      </w:r>
      <w:r>
        <w:rPr>
          <w:rFonts w:eastAsia="Times New Roman"/>
          <w:b/>
          <w:bCs/>
          <w:color w:val="000000"/>
          <w:sz w:val="30"/>
          <w:szCs w:val="30"/>
        </w:rPr>
        <w:t xml:space="preserve"> </w:t>
      </w:r>
      <w:r>
        <w:rPr>
          <w:rFonts w:ascii="华文琥珀" w:eastAsia="华文琥珀" w:hAnsi="华文琥珀"/>
          <w:b/>
          <w:bCs/>
          <w:color w:val="000000"/>
          <w:sz w:val="30"/>
          <w:szCs w:val="30"/>
        </w:rPr>
        <w:t>合</w:t>
      </w:r>
      <w:r>
        <w:rPr>
          <w:rFonts w:eastAsia="Times New Roman"/>
          <w:b/>
          <w:bCs/>
          <w:color w:val="000000"/>
          <w:sz w:val="30"/>
          <w:szCs w:val="30"/>
        </w:rPr>
        <w:t xml:space="preserve"> </w:t>
      </w:r>
      <w:r>
        <w:rPr>
          <w:rFonts w:ascii="华文琥珀" w:eastAsia="华文琥珀" w:hAnsi="华文琥珀"/>
          <w:b/>
          <w:bCs/>
          <w:color w:val="000000"/>
          <w:sz w:val="30"/>
          <w:szCs w:val="30"/>
        </w:rPr>
        <w:t>同</w:t>
      </w:r>
    </w:p>
    <w:p>
      <w:pPr>
        <w:snapToGrid w:val="0"/>
        <w:spacing w:line="460" w:lineRule="exact"/>
        <w:rPr>
          <w:rFonts w:eastAsia="Times New Roman"/>
          <w:color w:val="000000"/>
          <w:sz w:val="20"/>
          <w:szCs w:val="20"/>
        </w:rPr>
      </w:pPr>
      <w:r>
        <w:rPr>
          <w:rFonts w:ascii="宋体" w:hAnsi="宋体"/>
          <w:b/>
          <w:bCs/>
          <w:color w:val="000000"/>
          <w:sz w:val="20"/>
          <w:szCs w:val="20"/>
        </w:rPr>
        <w:t>甲方（采购人）：深圳职业技术学院</w:t>
      </w:r>
      <w:r>
        <w:rPr>
          <w:rFonts w:eastAsia="Times New Roman"/>
          <w:b/>
          <w:bCs/>
          <w:color w:val="000000"/>
          <w:sz w:val="20"/>
          <w:szCs w:val="20"/>
        </w:rPr>
        <w:t xml:space="preserve"> </w:t>
      </w:r>
      <w:r>
        <w:rPr>
          <w:rFonts w:eastAsia="Times New Roman"/>
          <w:color w:val="000000"/>
          <w:sz w:val="20"/>
          <w:szCs w:val="20"/>
        </w:rPr>
        <w:t xml:space="preserve">          </w:t>
      </w:r>
      <w:r>
        <w:rPr>
          <w:rFonts w:eastAsia="Times New Roman"/>
          <w:color w:val="000000"/>
          <w:sz w:val="20"/>
          <w:szCs w:val="20"/>
        </w:rPr>
        <w:tab/>
      </w:r>
    </w:p>
    <w:p>
      <w:pPr>
        <w:snapToGrid w:val="0"/>
        <w:spacing w:line="460" w:lineRule="exact"/>
        <w:rPr>
          <w:rFonts w:ascii="宋体" w:hAnsi="宋体"/>
          <w:b/>
          <w:bCs/>
          <w:color w:val="000000"/>
          <w:sz w:val="20"/>
          <w:szCs w:val="20"/>
        </w:rPr>
      </w:pPr>
      <w:r>
        <w:rPr>
          <w:rFonts w:ascii="宋体" w:hAnsi="宋体"/>
          <w:b/>
          <w:bCs/>
          <w:color w:val="000000"/>
          <w:sz w:val="20"/>
          <w:szCs w:val="20"/>
        </w:rPr>
        <w:t>乙方（供应商）：</w:t>
      </w:r>
    </w:p>
    <w:p>
      <w:pPr>
        <w:snapToGrid w:val="0"/>
        <w:spacing w:line="360" w:lineRule="exact"/>
        <w:ind w:firstLine="480" w:firstLineChars="200"/>
        <w:rPr>
          <w:rFonts w:eastAsia="Times New Roman"/>
          <w:color w:val="000000"/>
          <w:sz w:val="20"/>
          <w:szCs w:val="20"/>
        </w:rPr>
      </w:pPr>
      <w:r>
        <w:rPr>
          <w:rFonts w:ascii="宋体" w:hAnsi="宋体"/>
          <w:color w:val="000000"/>
          <w:sz w:val="20"/>
          <w:szCs w:val="20"/>
        </w:rPr>
        <w:t>根据</w:t>
      </w:r>
      <w:r>
        <w:rPr>
          <w:rFonts w:eastAsia="Times New Roman"/>
          <w:color w:val="000000"/>
          <w:sz w:val="20"/>
          <w:szCs w:val="20"/>
          <w:u w:val="single"/>
        </w:rPr>
        <w:t xml:space="preserve">     </w:t>
      </w:r>
      <w:r>
        <w:rPr>
          <w:rFonts w:ascii="宋体" w:hAnsi="宋体"/>
          <w:color w:val="000000"/>
          <w:sz w:val="20"/>
          <w:szCs w:val="20"/>
        </w:rPr>
        <w:t>年</w:t>
      </w:r>
      <w:r>
        <w:rPr>
          <w:rFonts w:eastAsia="Times New Roman"/>
          <w:color w:val="000000"/>
          <w:sz w:val="20"/>
          <w:szCs w:val="20"/>
          <w:u w:val="single"/>
        </w:rPr>
        <w:t xml:space="preserve">    </w:t>
      </w:r>
      <w:r>
        <w:rPr>
          <w:rFonts w:ascii="宋体" w:hAnsi="宋体"/>
          <w:color w:val="000000"/>
          <w:sz w:val="20"/>
          <w:szCs w:val="20"/>
        </w:rPr>
        <w:t>月</w:t>
      </w:r>
      <w:r>
        <w:rPr>
          <w:rFonts w:eastAsia="Times New Roman"/>
          <w:color w:val="000000"/>
          <w:sz w:val="20"/>
          <w:szCs w:val="20"/>
          <w:u w:val="single"/>
        </w:rPr>
        <w:t xml:space="preserve">    </w:t>
      </w:r>
      <w:r>
        <w:rPr>
          <w:rFonts w:ascii="宋体" w:hAnsi="宋体"/>
          <w:color w:val="000000"/>
          <w:sz w:val="20"/>
          <w:szCs w:val="20"/>
        </w:rPr>
        <w:t>日深圳职业技术学院</w:t>
      </w:r>
      <w:r>
        <w:rPr>
          <w:rFonts w:ascii="宋体" w:hAnsi="宋体" w:hint="eastAsia"/>
          <w:color w:val="000000"/>
          <w:sz w:val="20"/>
          <w:szCs w:val="20"/>
        </w:rPr>
        <w:t xml:space="preserve"> </w:t>
      </w:r>
      <w:r>
        <w:rPr>
          <w:rFonts w:ascii="宋体" w:hAnsi="宋体"/>
          <w:color w:val="000000"/>
          <w:sz w:val="20"/>
          <w:szCs w:val="20"/>
        </w:rPr>
        <w:t xml:space="preserve">                项目（项目编号：</w:t>
      </w:r>
      <w:r>
        <w:rPr>
          <w:rFonts w:ascii="宋体" w:hAnsi="宋体" w:hint="eastAsia"/>
          <w:color w:val="000000"/>
          <w:sz w:val="20"/>
          <w:szCs w:val="20"/>
        </w:rPr>
        <w:t xml:space="preserve"> </w:t>
      </w:r>
      <w:r>
        <w:rPr>
          <w:rFonts w:ascii="宋体" w:hAnsi="宋体"/>
          <w:color w:val="000000"/>
          <w:sz w:val="20"/>
          <w:szCs w:val="20"/>
        </w:rPr>
        <w:t xml:space="preserve">       ）的招标（采购）的结果，甲、乙双方在招标文件和投标文件基础上，经友好协商，同意签订本合同。乙方投标</w:t>
      </w:r>
      <w:r>
        <w:rPr>
          <w:rFonts w:ascii="宋体" w:hAnsi="宋体" w:hint="eastAsia"/>
          <w:color w:val="000000"/>
          <w:sz w:val="20"/>
          <w:szCs w:val="20"/>
        </w:rPr>
        <w:t>文件</w:t>
      </w:r>
      <w:r>
        <w:rPr>
          <w:rFonts w:ascii="宋体" w:hAnsi="宋体"/>
          <w:color w:val="000000"/>
          <w:sz w:val="20"/>
          <w:szCs w:val="20"/>
        </w:rPr>
        <w:t>已明确而本合同未</w:t>
      </w:r>
      <w:r>
        <w:rPr>
          <w:rFonts w:ascii="宋体" w:hAnsi="宋体" w:hint="eastAsia"/>
          <w:color w:val="000000"/>
          <w:sz w:val="20"/>
          <w:szCs w:val="20"/>
        </w:rPr>
        <w:t>约定</w:t>
      </w:r>
      <w:r>
        <w:rPr>
          <w:rFonts w:ascii="宋体" w:hAnsi="宋体"/>
          <w:color w:val="000000"/>
          <w:sz w:val="20"/>
          <w:szCs w:val="20"/>
        </w:rPr>
        <w:t>的内容，以投标</w:t>
      </w:r>
      <w:r>
        <w:rPr>
          <w:rFonts w:ascii="宋体" w:hAnsi="宋体" w:hint="eastAsia"/>
          <w:color w:val="000000"/>
          <w:sz w:val="20"/>
          <w:szCs w:val="20"/>
        </w:rPr>
        <w:t>文件</w:t>
      </w:r>
      <w:r>
        <w:rPr>
          <w:rFonts w:ascii="宋体" w:hAnsi="宋体"/>
          <w:color w:val="000000"/>
          <w:sz w:val="20"/>
          <w:szCs w:val="20"/>
        </w:rPr>
        <w:t>为准；本合同中</w:t>
      </w:r>
      <w:r>
        <w:rPr>
          <w:rFonts w:ascii="宋体" w:hAnsi="宋体" w:hint="eastAsia"/>
          <w:color w:val="000000"/>
          <w:sz w:val="20"/>
          <w:szCs w:val="20"/>
        </w:rPr>
        <w:t>约定</w:t>
      </w:r>
      <w:r>
        <w:rPr>
          <w:rFonts w:ascii="宋体" w:hAnsi="宋体"/>
          <w:color w:val="000000"/>
          <w:sz w:val="20"/>
          <w:szCs w:val="20"/>
        </w:rPr>
        <w:t>的内容与乙方投标</w:t>
      </w:r>
      <w:r>
        <w:rPr>
          <w:rFonts w:ascii="宋体" w:hAnsi="宋体" w:hint="eastAsia"/>
          <w:color w:val="000000"/>
          <w:sz w:val="20"/>
          <w:szCs w:val="20"/>
        </w:rPr>
        <w:t>文件</w:t>
      </w:r>
      <w:r>
        <w:rPr>
          <w:rFonts w:ascii="宋体" w:hAnsi="宋体"/>
          <w:color w:val="000000"/>
          <w:sz w:val="20"/>
          <w:szCs w:val="20"/>
        </w:rPr>
        <w:t>不一致的，以本合同为准。</w:t>
      </w:r>
      <w:r>
        <w:rPr>
          <w:rFonts w:eastAsia="Times New Roman"/>
          <w:color w:val="000000"/>
          <w:sz w:val="20"/>
          <w:szCs w:val="20"/>
        </w:rPr>
        <w:tab/>
      </w:r>
    </w:p>
    <w:p>
      <w:pPr>
        <w:snapToGrid w:val="0"/>
        <w:spacing w:line="360" w:lineRule="exact"/>
        <w:ind w:firstLine="480" w:firstLineChars="200"/>
        <w:rPr>
          <w:rFonts w:eastAsia="Times New Roman"/>
          <w:b/>
          <w:bCs/>
          <w:color w:val="000000"/>
          <w:sz w:val="20"/>
          <w:szCs w:val="20"/>
        </w:rPr>
      </w:pPr>
      <w:r>
        <w:rPr>
          <w:rFonts w:ascii="宋体" w:hAnsi="宋体"/>
          <w:b/>
          <w:bCs/>
          <w:color w:val="000000"/>
          <w:sz w:val="20"/>
          <w:szCs w:val="20"/>
        </w:rPr>
        <w:t>第一条   合同标的：</w:t>
      </w:r>
      <w:r>
        <w:rPr>
          <w:rFonts w:ascii="宋体" w:hAnsi="宋体"/>
          <w:b/>
          <w:bCs/>
          <w:color w:val="000000"/>
          <w:sz w:val="20"/>
          <w:szCs w:val="20"/>
          <w:u w:val="single"/>
        </w:rPr>
        <w:t xml:space="preserve">  </w:t>
      </w:r>
      <w:r>
        <w:rPr>
          <w:rFonts w:ascii="宋体" w:hAnsi="宋体"/>
          <w:b/>
          <w:bCs/>
          <w:color w:val="000000"/>
          <w:sz w:val="20"/>
          <w:szCs w:val="20"/>
          <w:highlight w:val="yellow"/>
          <w:u w:val="single"/>
        </w:rPr>
        <w:t>（填写合同项目名称，后请删除此提示信息）</w:t>
      </w:r>
      <w:r>
        <w:rPr>
          <w:rFonts w:ascii="宋体" w:hAnsi="宋体"/>
          <w:b/>
          <w:bCs/>
          <w:color w:val="000000"/>
          <w:sz w:val="20"/>
          <w:szCs w:val="20"/>
          <w:u w:val="single"/>
        </w:rPr>
        <w:t xml:space="preserve">      </w:t>
      </w:r>
      <w:r>
        <w:rPr>
          <w:rFonts w:eastAsia="Times New Roman"/>
          <w:b/>
          <w:bCs/>
          <w:color w:val="000000"/>
          <w:sz w:val="20"/>
          <w:szCs w:val="20"/>
        </w:rPr>
        <w:tab/>
      </w:r>
    </w:p>
    <w:tbl>
      <w:tblPr>
        <w:tblStyle w:val="TableNormal"/>
        <w:tblW w:w="85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20" w:type="dxa"/>
          <w:left w:w="60" w:type="dxa"/>
          <w:bottom w:w="120" w:type="dxa"/>
          <w:right w:w="60" w:type="dxa"/>
        </w:tblCellMar>
        <w:tblLook w:val="0000"/>
      </w:tblPr>
      <w:tblGrid>
        <w:gridCol w:w="1124"/>
        <w:gridCol w:w="1418"/>
        <w:gridCol w:w="992"/>
        <w:gridCol w:w="1521"/>
        <w:gridCol w:w="605"/>
        <w:gridCol w:w="567"/>
        <w:gridCol w:w="993"/>
        <w:gridCol w:w="1330"/>
      </w:tblGrid>
      <w:tr>
        <w:tblPrEx>
          <w:tblW w:w="85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20" w:type="dxa"/>
            <w:left w:w="60" w:type="dxa"/>
            <w:bottom w:w="120" w:type="dxa"/>
            <w:right w:w="60" w:type="dxa"/>
          </w:tblCellMar>
          <w:tblLook w:val="0000"/>
        </w:tblPrEx>
        <w:trPr>
          <w:trHeight w:val="600"/>
        </w:trPr>
        <w:tc>
          <w:tcPr>
            <w:tcW w:w="1124" w:type="dxa"/>
            <w:tcBorders>
              <w:top w:val="single" w:sz="8" w:space="0" w:color="000000"/>
              <w:left w:val="single" w:sz="8" w:space="0" w:color="000000"/>
              <w:bottom w:val="single" w:sz="8" w:space="0" w:color="000000"/>
              <w:right w:val="single" w:sz="8" w:space="0" w:color="000000"/>
            </w:tcBorders>
            <w:vAlign w:val="center"/>
          </w:tcPr>
          <w:p>
            <w:pPr>
              <w:snapToGrid w:val="0"/>
              <w:rPr>
                <w:rFonts w:ascii="宋体" w:hAnsi="宋体"/>
                <w:bCs/>
                <w:color w:val="000000"/>
                <w:kern w:val="0"/>
                <w:sz w:val="20"/>
                <w:szCs w:val="20"/>
              </w:rPr>
            </w:pPr>
            <w:r>
              <w:rPr>
                <w:rFonts w:ascii="宋体" w:hAnsi="宋体"/>
                <w:bCs/>
                <w:color w:val="000000"/>
                <w:kern w:val="0"/>
                <w:sz w:val="20"/>
                <w:szCs w:val="20"/>
              </w:rPr>
              <w:t>产品名称</w:t>
            </w:r>
          </w:p>
        </w:tc>
        <w:tc>
          <w:tcPr>
            <w:tcW w:w="1418" w:type="dxa"/>
            <w:tcBorders>
              <w:top w:val="single" w:sz="8" w:space="0" w:color="000000"/>
              <w:left w:val="single" w:sz="8" w:space="0" w:color="000000"/>
              <w:bottom w:val="single" w:sz="8" w:space="0" w:color="000000"/>
              <w:right w:val="single" w:sz="8" w:space="0" w:color="000000"/>
            </w:tcBorders>
            <w:vAlign w:val="center"/>
          </w:tcPr>
          <w:p>
            <w:pPr>
              <w:snapToGrid w:val="0"/>
              <w:jc w:val="center"/>
              <w:rPr>
                <w:rFonts w:ascii="宋体" w:hAnsi="宋体"/>
                <w:bCs/>
                <w:color w:val="000000"/>
                <w:kern w:val="0"/>
                <w:sz w:val="20"/>
                <w:szCs w:val="20"/>
              </w:rPr>
            </w:pPr>
            <w:r>
              <w:rPr>
                <w:rFonts w:ascii="宋体" w:hAnsi="宋体"/>
                <w:bCs/>
                <w:color w:val="000000"/>
                <w:kern w:val="0"/>
                <w:sz w:val="20"/>
                <w:szCs w:val="20"/>
              </w:rPr>
              <w:t>品  牌</w:t>
            </w:r>
          </w:p>
        </w:tc>
        <w:tc>
          <w:tcPr>
            <w:tcW w:w="992" w:type="dxa"/>
            <w:tcBorders>
              <w:top w:val="single" w:sz="8" w:space="0" w:color="000000"/>
              <w:left w:val="single" w:sz="8" w:space="0" w:color="000000"/>
              <w:bottom w:val="single" w:sz="8" w:space="0" w:color="000000"/>
              <w:right w:val="single" w:sz="8" w:space="0" w:color="000000"/>
            </w:tcBorders>
            <w:vAlign w:val="center"/>
          </w:tcPr>
          <w:p>
            <w:pPr>
              <w:snapToGrid w:val="0"/>
              <w:jc w:val="center"/>
              <w:rPr>
                <w:rFonts w:ascii="宋体" w:hAnsi="宋体"/>
                <w:bCs/>
                <w:color w:val="000000"/>
                <w:kern w:val="0"/>
                <w:sz w:val="20"/>
                <w:szCs w:val="20"/>
              </w:rPr>
            </w:pPr>
            <w:r>
              <w:rPr>
                <w:rFonts w:ascii="宋体" w:hAnsi="宋体"/>
                <w:bCs/>
                <w:color w:val="000000"/>
                <w:kern w:val="0"/>
                <w:sz w:val="20"/>
                <w:szCs w:val="20"/>
              </w:rPr>
              <w:t>型  号</w:t>
            </w:r>
          </w:p>
        </w:tc>
        <w:tc>
          <w:tcPr>
            <w:tcW w:w="1521" w:type="dxa"/>
            <w:tcBorders>
              <w:top w:val="single" w:sz="8" w:space="0" w:color="000000"/>
              <w:left w:val="single" w:sz="8" w:space="0" w:color="000000"/>
              <w:bottom w:val="single" w:sz="8" w:space="0" w:color="000000"/>
              <w:right w:val="single" w:sz="8" w:space="0" w:color="000000"/>
            </w:tcBorders>
            <w:vAlign w:val="center"/>
          </w:tcPr>
          <w:p>
            <w:pPr>
              <w:snapToGrid w:val="0"/>
              <w:jc w:val="center"/>
              <w:rPr>
                <w:rFonts w:ascii="宋体" w:hAnsi="宋体"/>
                <w:bCs/>
                <w:color w:val="000000"/>
                <w:kern w:val="0"/>
                <w:sz w:val="20"/>
                <w:szCs w:val="20"/>
              </w:rPr>
            </w:pPr>
            <w:r>
              <w:rPr>
                <w:rFonts w:ascii="宋体" w:hAnsi="宋体"/>
                <w:bCs/>
                <w:color w:val="000000"/>
                <w:kern w:val="0"/>
                <w:sz w:val="20"/>
                <w:szCs w:val="20"/>
              </w:rPr>
              <w:t>制造商/原产地</w:t>
            </w:r>
          </w:p>
        </w:tc>
        <w:tc>
          <w:tcPr>
            <w:tcW w:w="605" w:type="dxa"/>
            <w:tcBorders>
              <w:top w:val="single" w:sz="8" w:space="0" w:color="000000"/>
              <w:left w:val="single" w:sz="8" w:space="0" w:color="000000"/>
              <w:bottom w:val="single" w:sz="8" w:space="0" w:color="000000"/>
              <w:right w:val="single" w:sz="8" w:space="0" w:color="000000"/>
            </w:tcBorders>
            <w:vAlign w:val="center"/>
          </w:tcPr>
          <w:p>
            <w:pPr>
              <w:snapToGrid w:val="0"/>
              <w:jc w:val="center"/>
              <w:rPr>
                <w:rFonts w:ascii="宋体" w:hAnsi="宋体"/>
                <w:bCs/>
                <w:color w:val="000000"/>
                <w:kern w:val="0"/>
                <w:sz w:val="20"/>
                <w:szCs w:val="20"/>
              </w:rPr>
            </w:pPr>
            <w:r>
              <w:rPr>
                <w:rFonts w:ascii="宋体" w:hAnsi="宋体"/>
                <w:bCs/>
                <w:color w:val="000000"/>
                <w:kern w:val="0"/>
                <w:sz w:val="20"/>
                <w:szCs w:val="20"/>
              </w:rPr>
              <w:t>单位</w:t>
            </w:r>
          </w:p>
        </w:tc>
        <w:tc>
          <w:tcPr>
            <w:tcW w:w="567" w:type="dxa"/>
            <w:tcBorders>
              <w:top w:val="single" w:sz="8" w:space="0" w:color="000000"/>
              <w:left w:val="single" w:sz="8" w:space="0" w:color="000000"/>
              <w:bottom w:val="single" w:sz="8" w:space="0" w:color="000000"/>
              <w:right w:val="single" w:sz="8" w:space="0" w:color="000000"/>
            </w:tcBorders>
            <w:vAlign w:val="center"/>
          </w:tcPr>
          <w:p>
            <w:pPr>
              <w:snapToGrid w:val="0"/>
              <w:jc w:val="center"/>
              <w:rPr>
                <w:rFonts w:ascii="宋体" w:hAnsi="宋体"/>
                <w:bCs/>
                <w:color w:val="000000"/>
                <w:kern w:val="0"/>
                <w:sz w:val="20"/>
                <w:szCs w:val="20"/>
              </w:rPr>
            </w:pPr>
            <w:r>
              <w:rPr>
                <w:rFonts w:ascii="宋体" w:hAnsi="宋体"/>
                <w:bCs/>
                <w:color w:val="000000"/>
                <w:kern w:val="0"/>
                <w:sz w:val="20"/>
                <w:szCs w:val="20"/>
              </w:rPr>
              <w:t>数量</w:t>
            </w:r>
          </w:p>
        </w:tc>
        <w:tc>
          <w:tcPr>
            <w:tcW w:w="993" w:type="dxa"/>
            <w:tcBorders>
              <w:top w:val="single" w:sz="8" w:space="0" w:color="000000"/>
              <w:left w:val="single" w:sz="8" w:space="0" w:color="000000"/>
              <w:bottom w:val="single" w:sz="8" w:space="0" w:color="000000"/>
              <w:right w:val="single" w:sz="8" w:space="0" w:color="000000"/>
            </w:tcBorders>
            <w:vAlign w:val="center"/>
          </w:tcPr>
          <w:p>
            <w:pPr>
              <w:snapToGrid w:val="0"/>
              <w:jc w:val="center"/>
              <w:rPr>
                <w:rFonts w:ascii="宋体" w:hAnsi="宋体"/>
                <w:bCs/>
                <w:color w:val="000000"/>
                <w:kern w:val="0"/>
                <w:sz w:val="20"/>
                <w:szCs w:val="20"/>
              </w:rPr>
            </w:pPr>
            <w:r>
              <w:rPr>
                <w:rFonts w:ascii="宋体" w:hAnsi="宋体"/>
                <w:bCs/>
                <w:color w:val="000000"/>
                <w:kern w:val="0"/>
                <w:sz w:val="20"/>
                <w:szCs w:val="20"/>
              </w:rPr>
              <w:t>单 价</w:t>
            </w:r>
          </w:p>
        </w:tc>
        <w:tc>
          <w:tcPr>
            <w:tcW w:w="1330" w:type="dxa"/>
            <w:tcBorders>
              <w:top w:val="single" w:sz="8" w:space="0" w:color="000000"/>
              <w:left w:val="single" w:sz="8" w:space="0" w:color="000000"/>
              <w:bottom w:val="single" w:sz="8" w:space="0" w:color="000000"/>
              <w:right w:val="single" w:sz="8" w:space="0" w:color="000000"/>
            </w:tcBorders>
            <w:vAlign w:val="center"/>
          </w:tcPr>
          <w:p>
            <w:pPr>
              <w:snapToGrid w:val="0"/>
              <w:jc w:val="center"/>
              <w:rPr>
                <w:rFonts w:ascii="宋体" w:hAnsi="宋体"/>
                <w:bCs/>
                <w:color w:val="000000"/>
                <w:kern w:val="0"/>
                <w:sz w:val="20"/>
                <w:szCs w:val="20"/>
              </w:rPr>
            </w:pPr>
            <w:r>
              <w:rPr>
                <w:rFonts w:ascii="宋体" w:hAnsi="宋体"/>
                <w:bCs/>
                <w:color w:val="000000"/>
                <w:kern w:val="0"/>
                <w:sz w:val="20"/>
                <w:szCs w:val="20"/>
              </w:rPr>
              <w:t>总 价（元）</w:t>
            </w:r>
          </w:p>
        </w:tc>
      </w:tr>
      <w:tr>
        <w:tblPrEx>
          <w:tblW w:w="8550" w:type="dxa"/>
          <w:tblLayout w:type="fixed"/>
          <w:tblCellMar>
            <w:top w:w="120" w:type="dxa"/>
            <w:left w:w="60" w:type="dxa"/>
            <w:bottom w:w="120" w:type="dxa"/>
            <w:right w:w="60" w:type="dxa"/>
          </w:tblCellMar>
          <w:tblLook w:val="0000"/>
        </w:tblPrEx>
        <w:trPr>
          <w:trHeight w:val="323"/>
        </w:trPr>
        <w:tc>
          <w:tcPr>
            <w:tcW w:w="1124" w:type="dxa"/>
            <w:tcBorders>
              <w:top w:val="single" w:sz="8" w:space="0" w:color="000000"/>
              <w:left w:val="single" w:sz="8" w:space="0" w:color="000000"/>
              <w:bottom w:val="single" w:sz="8" w:space="0" w:color="000000"/>
              <w:right w:val="single" w:sz="8" w:space="0" w:color="000000"/>
            </w:tcBorders>
            <w:vAlign w:val="center"/>
          </w:tcPr>
          <w:p>
            <w:pPr>
              <w:snapToGrid w:val="0"/>
              <w:spacing w:line="360" w:lineRule="exact"/>
              <w:rPr>
                <w:rFonts w:ascii="宋体" w:hAnsi="宋体"/>
                <w:color w:val="000000"/>
                <w:kern w:val="0"/>
                <w:sz w:val="20"/>
                <w:szCs w:val="20"/>
              </w:rPr>
            </w:pPr>
          </w:p>
        </w:tc>
        <w:tc>
          <w:tcPr>
            <w:tcW w:w="1418" w:type="dxa"/>
            <w:tcBorders>
              <w:top w:val="single" w:sz="8" w:space="0" w:color="000000"/>
              <w:left w:val="single" w:sz="8" w:space="0" w:color="000000"/>
              <w:bottom w:val="single" w:sz="8" w:space="0" w:color="000000"/>
              <w:right w:val="single" w:sz="8" w:space="0" w:color="000000"/>
            </w:tcBorders>
            <w:vAlign w:val="center"/>
          </w:tcPr>
          <w:p>
            <w:pPr>
              <w:snapToGrid w:val="0"/>
              <w:spacing w:line="360" w:lineRule="exact"/>
              <w:jc w:val="center"/>
              <w:rPr>
                <w:rFonts w:ascii="宋体" w:hAnsi="宋体"/>
                <w:color w:val="000000"/>
                <w:kern w:val="0"/>
                <w:sz w:val="20"/>
                <w:szCs w:val="20"/>
              </w:rPr>
            </w:pPr>
          </w:p>
        </w:tc>
        <w:tc>
          <w:tcPr>
            <w:tcW w:w="992" w:type="dxa"/>
            <w:tcBorders>
              <w:top w:val="single" w:sz="8" w:space="0" w:color="000000"/>
              <w:left w:val="single" w:sz="8" w:space="0" w:color="000000"/>
              <w:bottom w:val="single" w:sz="8" w:space="0" w:color="000000"/>
              <w:right w:val="single" w:sz="8" w:space="0" w:color="000000"/>
            </w:tcBorders>
            <w:vAlign w:val="center"/>
          </w:tcPr>
          <w:p>
            <w:pPr>
              <w:snapToGrid w:val="0"/>
              <w:spacing w:line="360" w:lineRule="exact"/>
              <w:ind w:firstLine="720" w:firstLineChars="300"/>
              <w:rPr>
                <w:rFonts w:ascii="宋体" w:hAnsi="宋体"/>
                <w:color w:val="000000"/>
                <w:kern w:val="0"/>
                <w:sz w:val="20"/>
                <w:szCs w:val="20"/>
              </w:rPr>
            </w:pPr>
          </w:p>
        </w:tc>
        <w:tc>
          <w:tcPr>
            <w:tcW w:w="1521" w:type="dxa"/>
            <w:tcBorders>
              <w:top w:val="single" w:sz="8" w:space="0" w:color="000000"/>
              <w:left w:val="single" w:sz="8" w:space="0" w:color="000000"/>
              <w:bottom w:val="single" w:sz="8" w:space="0" w:color="000000"/>
              <w:right w:val="single" w:sz="8" w:space="0" w:color="000000"/>
            </w:tcBorders>
            <w:vAlign w:val="center"/>
          </w:tcPr>
          <w:p>
            <w:pPr>
              <w:snapToGrid w:val="0"/>
              <w:spacing w:line="360" w:lineRule="exact"/>
              <w:jc w:val="center"/>
              <w:rPr>
                <w:rFonts w:ascii="宋体" w:hAnsi="宋体"/>
                <w:color w:val="000000"/>
                <w:kern w:val="0"/>
                <w:sz w:val="20"/>
                <w:szCs w:val="20"/>
              </w:rPr>
            </w:pPr>
          </w:p>
        </w:tc>
        <w:tc>
          <w:tcPr>
            <w:tcW w:w="605" w:type="dxa"/>
            <w:tcBorders>
              <w:top w:val="single" w:sz="8" w:space="0" w:color="000000"/>
              <w:left w:val="single" w:sz="8" w:space="0" w:color="000000"/>
              <w:bottom w:val="single" w:sz="8" w:space="0" w:color="000000"/>
              <w:right w:val="single" w:sz="8" w:space="0" w:color="000000"/>
            </w:tcBorders>
            <w:vAlign w:val="center"/>
          </w:tcPr>
          <w:p>
            <w:pPr>
              <w:snapToGrid w:val="0"/>
              <w:spacing w:line="360" w:lineRule="exact"/>
              <w:jc w:val="center"/>
              <w:rPr>
                <w:rFonts w:ascii="宋体" w:hAnsi="宋体"/>
                <w:color w:val="000000"/>
                <w:kern w:val="0"/>
                <w:sz w:val="20"/>
                <w:szCs w:val="20"/>
              </w:rPr>
            </w:pPr>
          </w:p>
        </w:tc>
        <w:tc>
          <w:tcPr>
            <w:tcW w:w="567" w:type="dxa"/>
            <w:tcBorders>
              <w:top w:val="single" w:sz="8" w:space="0" w:color="000000"/>
              <w:left w:val="single" w:sz="8" w:space="0" w:color="000000"/>
              <w:bottom w:val="single" w:sz="8" w:space="0" w:color="000000"/>
              <w:right w:val="single" w:sz="8" w:space="0" w:color="000000"/>
            </w:tcBorders>
            <w:vAlign w:val="center"/>
          </w:tcPr>
          <w:p>
            <w:pPr>
              <w:snapToGrid w:val="0"/>
              <w:spacing w:line="360" w:lineRule="exact"/>
              <w:jc w:val="center"/>
              <w:rPr>
                <w:rFonts w:ascii="宋体" w:hAnsi="宋体"/>
                <w:color w:val="000000"/>
                <w:kern w:val="0"/>
                <w:sz w:val="20"/>
                <w:szCs w:val="20"/>
              </w:rPr>
            </w:pPr>
          </w:p>
        </w:tc>
        <w:tc>
          <w:tcPr>
            <w:tcW w:w="993" w:type="dxa"/>
            <w:tcBorders>
              <w:top w:val="single" w:sz="8" w:space="0" w:color="000000"/>
              <w:left w:val="single" w:sz="8" w:space="0" w:color="000000"/>
              <w:bottom w:val="single" w:sz="8" w:space="0" w:color="000000"/>
              <w:right w:val="single" w:sz="8" w:space="0" w:color="000000"/>
            </w:tcBorders>
            <w:vAlign w:val="center"/>
          </w:tcPr>
          <w:p>
            <w:pPr>
              <w:snapToGrid w:val="0"/>
              <w:spacing w:line="360" w:lineRule="exact"/>
              <w:jc w:val="center"/>
              <w:rPr>
                <w:rFonts w:ascii="宋体" w:hAnsi="宋体"/>
                <w:color w:val="000000"/>
                <w:kern w:val="0"/>
                <w:sz w:val="20"/>
                <w:szCs w:val="20"/>
              </w:rPr>
            </w:pPr>
          </w:p>
        </w:tc>
        <w:tc>
          <w:tcPr>
            <w:tcW w:w="1330" w:type="dxa"/>
            <w:tcBorders>
              <w:top w:val="single" w:sz="8" w:space="0" w:color="000000"/>
              <w:left w:val="single" w:sz="8" w:space="0" w:color="000000"/>
              <w:bottom w:val="single" w:sz="8" w:space="0" w:color="000000"/>
              <w:right w:val="single" w:sz="8" w:space="0" w:color="000000"/>
            </w:tcBorders>
            <w:vAlign w:val="center"/>
          </w:tcPr>
          <w:p>
            <w:pPr>
              <w:snapToGrid w:val="0"/>
              <w:spacing w:line="360" w:lineRule="exact"/>
              <w:jc w:val="center"/>
              <w:rPr>
                <w:rFonts w:ascii="宋体" w:hAnsi="宋体"/>
                <w:color w:val="000000"/>
                <w:kern w:val="0"/>
                <w:sz w:val="20"/>
                <w:szCs w:val="20"/>
              </w:rPr>
            </w:pPr>
          </w:p>
        </w:tc>
      </w:tr>
      <w:tr>
        <w:tblPrEx>
          <w:tblW w:w="8550" w:type="dxa"/>
          <w:tblLayout w:type="fixed"/>
          <w:tblCellMar>
            <w:top w:w="120" w:type="dxa"/>
            <w:left w:w="60" w:type="dxa"/>
            <w:bottom w:w="120" w:type="dxa"/>
            <w:right w:w="60" w:type="dxa"/>
          </w:tblCellMar>
          <w:tblLook w:val="0000"/>
        </w:tblPrEx>
        <w:trPr>
          <w:trHeight w:val="360"/>
        </w:trPr>
        <w:tc>
          <w:tcPr>
            <w:tcW w:w="1124" w:type="dxa"/>
            <w:tcBorders>
              <w:top w:val="single" w:sz="8" w:space="0" w:color="000000"/>
              <w:left w:val="single" w:sz="8" w:space="0" w:color="000000"/>
              <w:bottom w:val="single" w:sz="8" w:space="0" w:color="000000"/>
              <w:right w:val="single" w:sz="8" w:space="0" w:color="000000"/>
            </w:tcBorders>
            <w:vAlign w:val="center"/>
          </w:tcPr>
          <w:p>
            <w:pPr>
              <w:snapToGrid w:val="0"/>
              <w:spacing w:line="360" w:lineRule="exact"/>
              <w:rPr>
                <w:rFonts w:ascii="宋体" w:hAnsi="宋体"/>
                <w:color w:val="000000"/>
                <w:kern w:val="0"/>
                <w:sz w:val="20"/>
                <w:szCs w:val="20"/>
              </w:rPr>
            </w:pPr>
          </w:p>
        </w:tc>
        <w:tc>
          <w:tcPr>
            <w:tcW w:w="1418" w:type="dxa"/>
            <w:tcBorders>
              <w:top w:val="single" w:sz="8" w:space="0" w:color="000000"/>
              <w:left w:val="single" w:sz="8" w:space="0" w:color="000000"/>
              <w:bottom w:val="single" w:sz="8" w:space="0" w:color="000000"/>
              <w:right w:val="single" w:sz="8" w:space="0" w:color="000000"/>
            </w:tcBorders>
            <w:vAlign w:val="center"/>
          </w:tcPr>
          <w:p>
            <w:pPr>
              <w:snapToGrid w:val="0"/>
              <w:spacing w:line="360" w:lineRule="exact"/>
              <w:jc w:val="center"/>
              <w:rPr>
                <w:rFonts w:ascii="宋体" w:hAnsi="宋体"/>
                <w:color w:val="000000"/>
                <w:kern w:val="0"/>
                <w:sz w:val="20"/>
                <w:szCs w:val="20"/>
              </w:rPr>
            </w:pPr>
          </w:p>
        </w:tc>
        <w:tc>
          <w:tcPr>
            <w:tcW w:w="992" w:type="dxa"/>
            <w:tcBorders>
              <w:top w:val="single" w:sz="8" w:space="0" w:color="000000"/>
              <w:left w:val="single" w:sz="8" w:space="0" w:color="000000"/>
              <w:bottom w:val="single" w:sz="8" w:space="0" w:color="000000"/>
              <w:right w:val="single" w:sz="8" w:space="0" w:color="000000"/>
            </w:tcBorders>
            <w:vAlign w:val="center"/>
          </w:tcPr>
          <w:p>
            <w:pPr>
              <w:snapToGrid w:val="0"/>
              <w:spacing w:line="360" w:lineRule="exact"/>
              <w:ind w:firstLine="720" w:firstLineChars="300"/>
              <w:rPr>
                <w:rFonts w:ascii="宋体" w:hAnsi="宋体"/>
                <w:color w:val="000000"/>
                <w:kern w:val="0"/>
                <w:sz w:val="20"/>
                <w:szCs w:val="20"/>
              </w:rPr>
            </w:pPr>
          </w:p>
        </w:tc>
        <w:tc>
          <w:tcPr>
            <w:tcW w:w="1521" w:type="dxa"/>
            <w:tcBorders>
              <w:top w:val="single" w:sz="8" w:space="0" w:color="000000"/>
              <w:left w:val="single" w:sz="8" w:space="0" w:color="000000"/>
              <w:bottom w:val="single" w:sz="8" w:space="0" w:color="000000"/>
              <w:right w:val="single" w:sz="8" w:space="0" w:color="000000"/>
            </w:tcBorders>
            <w:vAlign w:val="center"/>
          </w:tcPr>
          <w:p>
            <w:pPr>
              <w:snapToGrid w:val="0"/>
              <w:spacing w:line="360" w:lineRule="exact"/>
              <w:jc w:val="center"/>
              <w:rPr>
                <w:rFonts w:ascii="宋体" w:hAnsi="宋体"/>
                <w:color w:val="000000"/>
                <w:kern w:val="0"/>
                <w:sz w:val="20"/>
                <w:szCs w:val="20"/>
              </w:rPr>
            </w:pPr>
          </w:p>
        </w:tc>
        <w:tc>
          <w:tcPr>
            <w:tcW w:w="605" w:type="dxa"/>
            <w:tcBorders>
              <w:top w:val="single" w:sz="8" w:space="0" w:color="000000"/>
              <w:left w:val="single" w:sz="8" w:space="0" w:color="000000"/>
              <w:bottom w:val="single" w:sz="8" w:space="0" w:color="000000"/>
              <w:right w:val="single" w:sz="8" w:space="0" w:color="000000"/>
            </w:tcBorders>
            <w:vAlign w:val="center"/>
          </w:tcPr>
          <w:p>
            <w:pPr>
              <w:snapToGrid w:val="0"/>
              <w:spacing w:line="360" w:lineRule="exact"/>
              <w:jc w:val="center"/>
              <w:rPr>
                <w:rFonts w:ascii="宋体" w:hAnsi="宋体"/>
                <w:color w:val="000000"/>
                <w:kern w:val="0"/>
                <w:sz w:val="20"/>
                <w:szCs w:val="20"/>
              </w:rPr>
            </w:pPr>
          </w:p>
        </w:tc>
        <w:tc>
          <w:tcPr>
            <w:tcW w:w="567" w:type="dxa"/>
            <w:tcBorders>
              <w:top w:val="single" w:sz="8" w:space="0" w:color="000000"/>
              <w:left w:val="single" w:sz="8" w:space="0" w:color="000000"/>
              <w:bottom w:val="single" w:sz="8" w:space="0" w:color="000000"/>
              <w:right w:val="single" w:sz="8" w:space="0" w:color="000000"/>
            </w:tcBorders>
            <w:vAlign w:val="center"/>
          </w:tcPr>
          <w:p>
            <w:pPr>
              <w:snapToGrid w:val="0"/>
              <w:spacing w:line="360" w:lineRule="exact"/>
              <w:jc w:val="center"/>
              <w:rPr>
                <w:rFonts w:ascii="宋体" w:hAnsi="宋体"/>
                <w:color w:val="000000"/>
                <w:kern w:val="0"/>
                <w:sz w:val="20"/>
                <w:szCs w:val="20"/>
              </w:rPr>
            </w:pPr>
          </w:p>
        </w:tc>
        <w:tc>
          <w:tcPr>
            <w:tcW w:w="993" w:type="dxa"/>
            <w:tcBorders>
              <w:top w:val="single" w:sz="8" w:space="0" w:color="000000"/>
              <w:left w:val="single" w:sz="8" w:space="0" w:color="000000"/>
              <w:bottom w:val="single" w:sz="8" w:space="0" w:color="000000"/>
              <w:right w:val="single" w:sz="8" w:space="0" w:color="000000"/>
            </w:tcBorders>
            <w:vAlign w:val="center"/>
          </w:tcPr>
          <w:p>
            <w:pPr>
              <w:snapToGrid w:val="0"/>
              <w:spacing w:line="360" w:lineRule="exact"/>
              <w:jc w:val="center"/>
              <w:rPr>
                <w:rFonts w:ascii="宋体" w:hAnsi="宋体"/>
                <w:color w:val="000000"/>
                <w:kern w:val="0"/>
                <w:sz w:val="20"/>
                <w:szCs w:val="20"/>
              </w:rPr>
            </w:pPr>
          </w:p>
        </w:tc>
        <w:tc>
          <w:tcPr>
            <w:tcW w:w="1330" w:type="dxa"/>
            <w:tcBorders>
              <w:top w:val="single" w:sz="8" w:space="0" w:color="000000"/>
              <w:left w:val="single" w:sz="8" w:space="0" w:color="000000"/>
              <w:bottom w:val="single" w:sz="8" w:space="0" w:color="000000"/>
              <w:right w:val="single" w:sz="8" w:space="0" w:color="000000"/>
            </w:tcBorders>
            <w:vAlign w:val="center"/>
          </w:tcPr>
          <w:p>
            <w:pPr>
              <w:snapToGrid w:val="0"/>
              <w:spacing w:line="360" w:lineRule="exact"/>
              <w:jc w:val="center"/>
              <w:rPr>
                <w:rFonts w:ascii="宋体" w:hAnsi="宋体"/>
                <w:color w:val="000000"/>
                <w:kern w:val="0"/>
                <w:sz w:val="20"/>
                <w:szCs w:val="20"/>
              </w:rPr>
            </w:pPr>
          </w:p>
        </w:tc>
      </w:tr>
      <w:tr>
        <w:tblPrEx>
          <w:tblW w:w="8550" w:type="dxa"/>
          <w:tblLayout w:type="fixed"/>
          <w:tblCellMar>
            <w:top w:w="120" w:type="dxa"/>
            <w:left w:w="60" w:type="dxa"/>
            <w:bottom w:w="120" w:type="dxa"/>
            <w:right w:w="60" w:type="dxa"/>
          </w:tblCellMar>
          <w:tblLook w:val="0000"/>
        </w:tblPrEx>
        <w:trPr>
          <w:trHeight w:val="360"/>
        </w:trPr>
        <w:tc>
          <w:tcPr>
            <w:tcW w:w="1124" w:type="dxa"/>
            <w:tcBorders>
              <w:top w:val="single" w:sz="8" w:space="0" w:color="000000"/>
              <w:left w:val="single" w:sz="8" w:space="0" w:color="000000"/>
              <w:bottom w:val="single" w:sz="8" w:space="0" w:color="000000"/>
              <w:right w:val="single" w:sz="8" w:space="0" w:color="000000"/>
            </w:tcBorders>
            <w:vAlign w:val="center"/>
          </w:tcPr>
          <w:p>
            <w:pPr>
              <w:snapToGrid w:val="0"/>
              <w:spacing w:line="360" w:lineRule="exact"/>
              <w:rPr>
                <w:rFonts w:ascii="宋体" w:hAnsi="宋体"/>
                <w:color w:val="000000"/>
                <w:kern w:val="0"/>
                <w:sz w:val="20"/>
                <w:szCs w:val="20"/>
              </w:rPr>
            </w:pPr>
          </w:p>
        </w:tc>
        <w:tc>
          <w:tcPr>
            <w:tcW w:w="1418" w:type="dxa"/>
            <w:tcBorders>
              <w:top w:val="single" w:sz="8" w:space="0" w:color="000000"/>
              <w:left w:val="single" w:sz="8" w:space="0" w:color="000000"/>
              <w:bottom w:val="single" w:sz="8" w:space="0" w:color="000000"/>
              <w:right w:val="single" w:sz="8" w:space="0" w:color="000000"/>
            </w:tcBorders>
            <w:vAlign w:val="center"/>
          </w:tcPr>
          <w:p>
            <w:pPr>
              <w:snapToGrid w:val="0"/>
              <w:spacing w:line="360" w:lineRule="exact"/>
              <w:jc w:val="center"/>
              <w:rPr>
                <w:rFonts w:ascii="宋体" w:hAnsi="宋体"/>
                <w:color w:val="000000"/>
                <w:kern w:val="0"/>
                <w:sz w:val="20"/>
                <w:szCs w:val="20"/>
              </w:rPr>
            </w:pPr>
          </w:p>
        </w:tc>
        <w:tc>
          <w:tcPr>
            <w:tcW w:w="992" w:type="dxa"/>
            <w:tcBorders>
              <w:top w:val="single" w:sz="8" w:space="0" w:color="000000"/>
              <w:left w:val="single" w:sz="8" w:space="0" w:color="000000"/>
              <w:bottom w:val="single" w:sz="8" w:space="0" w:color="000000"/>
              <w:right w:val="single" w:sz="8" w:space="0" w:color="000000"/>
            </w:tcBorders>
            <w:vAlign w:val="center"/>
          </w:tcPr>
          <w:p>
            <w:pPr>
              <w:snapToGrid w:val="0"/>
              <w:spacing w:line="360" w:lineRule="exact"/>
              <w:ind w:firstLine="720" w:firstLineChars="300"/>
              <w:rPr>
                <w:rFonts w:ascii="宋体" w:hAnsi="宋体"/>
                <w:color w:val="000000"/>
                <w:kern w:val="0"/>
                <w:sz w:val="20"/>
                <w:szCs w:val="20"/>
              </w:rPr>
            </w:pPr>
          </w:p>
        </w:tc>
        <w:tc>
          <w:tcPr>
            <w:tcW w:w="1521" w:type="dxa"/>
            <w:tcBorders>
              <w:top w:val="single" w:sz="8" w:space="0" w:color="000000"/>
              <w:left w:val="single" w:sz="8" w:space="0" w:color="000000"/>
              <w:bottom w:val="single" w:sz="8" w:space="0" w:color="000000"/>
              <w:right w:val="single" w:sz="8" w:space="0" w:color="000000"/>
            </w:tcBorders>
            <w:vAlign w:val="center"/>
          </w:tcPr>
          <w:p>
            <w:pPr>
              <w:snapToGrid w:val="0"/>
              <w:spacing w:line="360" w:lineRule="exact"/>
              <w:jc w:val="center"/>
              <w:rPr>
                <w:rFonts w:ascii="宋体" w:hAnsi="宋体"/>
                <w:color w:val="000000"/>
                <w:kern w:val="0"/>
                <w:sz w:val="20"/>
                <w:szCs w:val="20"/>
              </w:rPr>
            </w:pPr>
          </w:p>
        </w:tc>
        <w:tc>
          <w:tcPr>
            <w:tcW w:w="605" w:type="dxa"/>
            <w:tcBorders>
              <w:top w:val="single" w:sz="8" w:space="0" w:color="000000"/>
              <w:left w:val="single" w:sz="8" w:space="0" w:color="000000"/>
              <w:bottom w:val="single" w:sz="8" w:space="0" w:color="000000"/>
              <w:right w:val="single" w:sz="8" w:space="0" w:color="000000"/>
            </w:tcBorders>
            <w:vAlign w:val="center"/>
          </w:tcPr>
          <w:p>
            <w:pPr>
              <w:snapToGrid w:val="0"/>
              <w:spacing w:line="360" w:lineRule="exact"/>
              <w:jc w:val="center"/>
              <w:rPr>
                <w:rFonts w:ascii="宋体" w:hAnsi="宋体"/>
                <w:color w:val="000000"/>
                <w:kern w:val="0"/>
                <w:sz w:val="20"/>
                <w:szCs w:val="20"/>
              </w:rPr>
            </w:pPr>
          </w:p>
        </w:tc>
        <w:tc>
          <w:tcPr>
            <w:tcW w:w="567" w:type="dxa"/>
            <w:tcBorders>
              <w:top w:val="single" w:sz="8" w:space="0" w:color="000000"/>
              <w:left w:val="single" w:sz="8" w:space="0" w:color="000000"/>
              <w:bottom w:val="single" w:sz="8" w:space="0" w:color="000000"/>
              <w:right w:val="single" w:sz="8" w:space="0" w:color="000000"/>
            </w:tcBorders>
            <w:vAlign w:val="center"/>
          </w:tcPr>
          <w:p>
            <w:pPr>
              <w:snapToGrid w:val="0"/>
              <w:spacing w:line="360" w:lineRule="exact"/>
              <w:jc w:val="center"/>
              <w:rPr>
                <w:rFonts w:ascii="宋体" w:hAnsi="宋体"/>
                <w:color w:val="000000"/>
                <w:kern w:val="0"/>
                <w:sz w:val="20"/>
                <w:szCs w:val="20"/>
              </w:rPr>
            </w:pPr>
          </w:p>
        </w:tc>
        <w:tc>
          <w:tcPr>
            <w:tcW w:w="993" w:type="dxa"/>
            <w:tcBorders>
              <w:top w:val="single" w:sz="8" w:space="0" w:color="000000"/>
              <w:left w:val="single" w:sz="8" w:space="0" w:color="000000"/>
              <w:bottom w:val="single" w:sz="8" w:space="0" w:color="000000"/>
              <w:right w:val="single" w:sz="8" w:space="0" w:color="000000"/>
            </w:tcBorders>
            <w:vAlign w:val="center"/>
          </w:tcPr>
          <w:p>
            <w:pPr>
              <w:snapToGrid w:val="0"/>
              <w:spacing w:line="360" w:lineRule="exact"/>
              <w:jc w:val="center"/>
              <w:rPr>
                <w:rFonts w:ascii="宋体" w:hAnsi="宋体"/>
                <w:color w:val="000000"/>
                <w:kern w:val="0"/>
                <w:sz w:val="20"/>
                <w:szCs w:val="20"/>
              </w:rPr>
            </w:pPr>
          </w:p>
        </w:tc>
        <w:tc>
          <w:tcPr>
            <w:tcW w:w="1330" w:type="dxa"/>
            <w:tcBorders>
              <w:top w:val="single" w:sz="8" w:space="0" w:color="000000"/>
              <w:left w:val="single" w:sz="8" w:space="0" w:color="000000"/>
              <w:bottom w:val="single" w:sz="8" w:space="0" w:color="000000"/>
              <w:right w:val="single" w:sz="8" w:space="0" w:color="000000"/>
            </w:tcBorders>
            <w:vAlign w:val="center"/>
          </w:tcPr>
          <w:p>
            <w:pPr>
              <w:snapToGrid w:val="0"/>
              <w:spacing w:line="360" w:lineRule="exact"/>
              <w:jc w:val="center"/>
              <w:rPr>
                <w:rFonts w:ascii="宋体" w:hAnsi="宋体"/>
                <w:color w:val="000000"/>
                <w:kern w:val="0"/>
                <w:sz w:val="20"/>
                <w:szCs w:val="20"/>
              </w:rPr>
            </w:pPr>
          </w:p>
        </w:tc>
      </w:tr>
      <w:tr>
        <w:tblPrEx>
          <w:tblW w:w="8550" w:type="dxa"/>
          <w:tblLayout w:type="fixed"/>
          <w:tblCellMar>
            <w:top w:w="120" w:type="dxa"/>
            <w:left w:w="60" w:type="dxa"/>
            <w:bottom w:w="120" w:type="dxa"/>
            <w:right w:w="60" w:type="dxa"/>
          </w:tblCellMar>
          <w:tblLook w:val="0000"/>
        </w:tblPrEx>
        <w:trPr>
          <w:trHeight w:val="690"/>
        </w:trPr>
        <w:tc>
          <w:tcPr>
            <w:tcW w:w="1124" w:type="dxa"/>
            <w:tcBorders>
              <w:top w:val="single" w:sz="8" w:space="0" w:color="000000"/>
              <w:left w:val="single" w:sz="8" w:space="0" w:color="000000"/>
              <w:bottom w:val="single" w:sz="8" w:space="0" w:color="000000"/>
              <w:right w:val="single" w:sz="8" w:space="0" w:color="000000"/>
            </w:tcBorders>
            <w:vAlign w:val="center"/>
          </w:tcPr>
          <w:p>
            <w:pPr>
              <w:snapToGrid w:val="0"/>
              <w:spacing w:line="460" w:lineRule="exact"/>
              <w:jc w:val="center"/>
              <w:rPr>
                <w:rFonts w:ascii="宋体" w:hAnsi="宋体"/>
                <w:bCs/>
                <w:color w:val="000000"/>
                <w:kern w:val="0"/>
                <w:sz w:val="20"/>
                <w:szCs w:val="20"/>
              </w:rPr>
            </w:pPr>
            <w:r>
              <w:rPr>
                <w:rFonts w:ascii="宋体" w:hAnsi="宋体"/>
                <w:bCs/>
                <w:color w:val="000000"/>
                <w:kern w:val="0"/>
                <w:sz w:val="20"/>
                <w:szCs w:val="20"/>
              </w:rPr>
              <w:t>合同总价</w:t>
            </w:r>
          </w:p>
        </w:tc>
        <w:tc>
          <w:tcPr>
            <w:tcW w:w="5103" w:type="dxa"/>
            <w:gridSpan w:val="5"/>
            <w:tcBorders>
              <w:top w:val="single" w:sz="8" w:space="0" w:color="000000"/>
              <w:left w:val="single" w:sz="8" w:space="0" w:color="000000"/>
              <w:bottom w:val="single" w:sz="8" w:space="0" w:color="000000"/>
              <w:right w:val="single" w:sz="8" w:space="0" w:color="000000"/>
            </w:tcBorders>
            <w:vAlign w:val="center"/>
          </w:tcPr>
          <w:p>
            <w:pPr>
              <w:snapToGrid w:val="0"/>
              <w:spacing w:line="460" w:lineRule="exact"/>
              <w:rPr>
                <w:rFonts w:ascii="宋体" w:hAnsi="宋体"/>
                <w:bCs/>
                <w:color w:val="000000"/>
                <w:kern w:val="0"/>
                <w:sz w:val="20"/>
                <w:szCs w:val="20"/>
              </w:rPr>
            </w:pPr>
            <w:r>
              <w:rPr>
                <w:rFonts w:ascii="宋体" w:hAnsi="宋体"/>
                <w:bCs/>
                <w:color w:val="000000"/>
                <w:kern w:val="0"/>
                <w:sz w:val="20"/>
                <w:szCs w:val="20"/>
              </w:rPr>
              <w:t xml:space="preserve">￥（大写）： </w:t>
            </w:r>
            <w:r>
              <w:rPr>
                <w:rFonts w:ascii="宋体" w:hAnsi="宋体"/>
                <w:bCs/>
                <w:color w:val="000000"/>
                <w:kern w:val="0"/>
                <w:sz w:val="20"/>
                <w:szCs w:val="20"/>
                <w:u w:val="single"/>
              </w:rPr>
              <w:t xml:space="preserve">                                    </w:t>
            </w:r>
            <w:r>
              <w:rPr>
                <w:rFonts w:ascii="宋体" w:hAnsi="宋体"/>
                <w:bCs/>
                <w:color w:val="000000"/>
                <w:kern w:val="0"/>
                <w:sz w:val="20"/>
                <w:szCs w:val="20"/>
              </w:rPr>
              <w:t xml:space="preserve"> </w:t>
            </w:r>
          </w:p>
        </w:tc>
        <w:tc>
          <w:tcPr>
            <w:tcW w:w="2323" w:type="dxa"/>
            <w:gridSpan w:val="2"/>
            <w:tcBorders>
              <w:top w:val="single" w:sz="8" w:space="0" w:color="000000"/>
              <w:left w:val="single" w:sz="8" w:space="0" w:color="000000"/>
              <w:bottom w:val="single" w:sz="8" w:space="0" w:color="000000"/>
              <w:right w:val="single" w:sz="8" w:space="0" w:color="000000"/>
            </w:tcBorders>
            <w:vAlign w:val="center"/>
          </w:tcPr>
          <w:p>
            <w:pPr>
              <w:snapToGrid w:val="0"/>
              <w:spacing w:line="460" w:lineRule="exact"/>
              <w:rPr>
                <w:rFonts w:ascii="宋体" w:hAnsi="宋体"/>
                <w:bCs/>
                <w:color w:val="000000"/>
                <w:kern w:val="0"/>
                <w:sz w:val="20"/>
                <w:szCs w:val="20"/>
              </w:rPr>
            </w:pPr>
            <w:r>
              <w:rPr>
                <w:rFonts w:ascii="宋体" w:hAnsi="宋体"/>
                <w:bCs/>
                <w:color w:val="000000"/>
                <w:kern w:val="0"/>
                <w:sz w:val="20"/>
                <w:szCs w:val="20"/>
              </w:rPr>
              <w:t>￥（小写）：</w:t>
            </w:r>
            <w:r>
              <w:rPr>
                <w:rFonts w:ascii="宋体" w:hAnsi="宋体"/>
                <w:bCs/>
                <w:color w:val="000000"/>
                <w:kern w:val="0"/>
                <w:sz w:val="20"/>
                <w:szCs w:val="20"/>
                <w:u w:val="single"/>
              </w:rPr>
              <w:t xml:space="preserve">          </w:t>
            </w:r>
          </w:p>
        </w:tc>
      </w:tr>
    </w:tbl>
    <w:p>
      <w:pPr>
        <w:snapToGrid w:val="0"/>
        <w:spacing w:line="360" w:lineRule="exact"/>
        <w:ind w:firstLine="480" w:firstLineChars="200"/>
        <w:rPr>
          <w:rFonts w:ascii="宋体" w:hAnsi="宋体"/>
          <w:b/>
          <w:bCs/>
          <w:color w:val="000000"/>
          <w:sz w:val="20"/>
          <w:szCs w:val="20"/>
        </w:rPr>
      </w:pPr>
      <w:r>
        <w:rPr>
          <w:rFonts w:ascii="宋体" w:hAnsi="宋体"/>
          <w:b/>
          <w:bCs/>
          <w:color w:val="000000"/>
          <w:sz w:val="20"/>
          <w:szCs w:val="20"/>
        </w:rPr>
        <w:t>第二条   质量及知识产权要求</w:t>
      </w:r>
    </w:p>
    <w:p>
      <w:pPr>
        <w:snapToGrid w:val="0"/>
        <w:spacing w:line="360" w:lineRule="exact"/>
        <w:rPr>
          <w:rFonts w:ascii="宋体" w:hAnsi="宋体"/>
          <w:color w:val="000000"/>
          <w:sz w:val="20"/>
          <w:szCs w:val="20"/>
        </w:rPr>
      </w:pPr>
      <w:r>
        <w:rPr>
          <w:rFonts w:ascii="宋体" w:hAnsi="宋体"/>
          <w:color w:val="000000"/>
          <w:sz w:val="20"/>
          <w:szCs w:val="20"/>
        </w:rPr>
        <w:t xml:space="preserve">    乙方提供完好、全新的原包装产品（包括零配件），随机技术资料齐全。产品符合国家质量检测标准，必须具有生产日期、厂名、厂址、产品合格证等。</w:t>
      </w:r>
    </w:p>
    <w:p>
      <w:pPr>
        <w:snapToGrid w:val="0"/>
        <w:spacing w:line="360" w:lineRule="exact"/>
        <w:ind w:firstLine="480" w:firstLineChars="200"/>
        <w:rPr>
          <w:rFonts w:eastAsia="Times New Roman"/>
          <w:color w:val="000000"/>
          <w:sz w:val="20"/>
          <w:szCs w:val="20"/>
        </w:rPr>
      </w:pPr>
      <w:r>
        <w:rPr>
          <w:rFonts w:ascii="宋体" w:hAnsi="宋体" w:hint="eastAsia"/>
          <w:color w:val="000000"/>
          <w:sz w:val="20"/>
          <w:szCs w:val="20"/>
        </w:rPr>
        <w:t>乙方</w:t>
      </w:r>
      <w:r>
        <w:rPr>
          <w:rFonts w:ascii="宋体" w:hAnsi="宋体"/>
          <w:color w:val="000000"/>
          <w:sz w:val="20"/>
          <w:szCs w:val="20"/>
        </w:rPr>
        <w:t>提供的产品不得侵害第三人的知识产权，否则，乙方应赔偿甲方因此遭受的一切损失（包括但不限于赔偿金、违约金、律师费、调查举证费、差旅费等）。</w:t>
      </w:r>
      <w:r>
        <w:rPr>
          <w:rFonts w:eastAsia="Times New Roman"/>
          <w:color w:val="000000"/>
          <w:sz w:val="20"/>
          <w:szCs w:val="20"/>
        </w:rPr>
        <w:tab/>
      </w:r>
    </w:p>
    <w:p>
      <w:pPr>
        <w:snapToGrid w:val="0"/>
        <w:spacing w:line="360" w:lineRule="exact"/>
        <w:ind w:firstLine="470" w:firstLineChars="196"/>
        <w:rPr>
          <w:rFonts w:ascii="宋体" w:hAnsi="宋体"/>
          <w:b/>
          <w:bCs/>
          <w:color w:val="000000"/>
          <w:sz w:val="20"/>
          <w:szCs w:val="20"/>
        </w:rPr>
      </w:pPr>
      <w:r>
        <w:rPr>
          <w:rFonts w:ascii="宋体" w:hAnsi="宋体"/>
          <w:b/>
          <w:bCs/>
          <w:color w:val="000000"/>
          <w:sz w:val="20"/>
          <w:szCs w:val="20"/>
        </w:rPr>
        <w:t>第三条   交货地点</w:t>
      </w:r>
    </w:p>
    <w:p>
      <w:pPr>
        <w:snapToGrid w:val="0"/>
        <w:spacing w:line="360" w:lineRule="exact"/>
        <w:ind w:firstLine="480" w:firstLineChars="200"/>
        <w:rPr>
          <w:rFonts w:eastAsia="Times New Roman"/>
          <w:color w:val="000000"/>
          <w:sz w:val="20"/>
          <w:szCs w:val="20"/>
        </w:rPr>
      </w:pPr>
      <w:r>
        <w:rPr>
          <w:rFonts w:ascii="宋体" w:hAnsi="宋体"/>
          <w:color w:val="000000"/>
          <w:sz w:val="20"/>
          <w:szCs w:val="20"/>
        </w:rPr>
        <w:t>深圳市南山区西丽湖深圳职业技术学院（校内具体地点由甲方指定）。</w:t>
      </w:r>
      <w:r>
        <w:rPr>
          <w:rFonts w:eastAsia="Times New Roman"/>
          <w:color w:val="000000"/>
          <w:sz w:val="20"/>
          <w:szCs w:val="20"/>
        </w:rPr>
        <w:tab/>
      </w:r>
      <w:r>
        <w:rPr>
          <w:rFonts w:eastAsia="Times New Roman"/>
          <w:color w:val="000000"/>
          <w:sz w:val="20"/>
          <w:szCs w:val="20"/>
        </w:rPr>
        <w:tab/>
      </w:r>
      <w:r>
        <w:rPr>
          <w:rFonts w:eastAsia="Times New Roman"/>
          <w:color w:val="000000"/>
          <w:sz w:val="20"/>
          <w:szCs w:val="20"/>
        </w:rPr>
        <w:tab/>
      </w:r>
    </w:p>
    <w:p>
      <w:pPr>
        <w:snapToGrid w:val="0"/>
        <w:spacing w:line="360" w:lineRule="exact"/>
        <w:ind w:firstLine="470" w:firstLineChars="196"/>
        <w:rPr>
          <w:rFonts w:ascii="宋体" w:hAnsi="宋体"/>
          <w:b/>
          <w:bCs/>
          <w:color w:val="000000"/>
          <w:sz w:val="20"/>
          <w:szCs w:val="20"/>
        </w:rPr>
      </w:pPr>
      <w:r>
        <w:rPr>
          <w:rFonts w:ascii="宋体" w:hAnsi="宋体"/>
          <w:b/>
          <w:bCs/>
          <w:color w:val="000000"/>
          <w:sz w:val="20"/>
          <w:szCs w:val="20"/>
        </w:rPr>
        <w:t>第四条   交货期限</w:t>
      </w:r>
    </w:p>
    <w:p>
      <w:pPr>
        <w:snapToGrid w:val="0"/>
        <w:spacing w:line="360" w:lineRule="exact"/>
        <w:ind w:firstLine="480" w:firstLineChars="200"/>
        <w:rPr>
          <w:rFonts w:eastAsia="Times New Roman"/>
          <w:color w:val="000000"/>
          <w:sz w:val="20"/>
          <w:szCs w:val="20"/>
        </w:rPr>
      </w:pPr>
      <w:r>
        <w:rPr>
          <w:rFonts w:ascii="宋体" w:hAnsi="宋体"/>
          <w:color w:val="000000"/>
          <w:sz w:val="20"/>
          <w:szCs w:val="20"/>
        </w:rPr>
        <w:t>合同签订后</w:t>
      </w:r>
      <w:r>
        <w:rPr>
          <w:rFonts w:ascii="宋体" w:hAnsi="宋体"/>
          <w:color w:val="FF0000"/>
          <w:sz w:val="20"/>
          <w:szCs w:val="20"/>
          <w:u w:val="single"/>
        </w:rPr>
        <w:t xml:space="preserve">      </w:t>
      </w:r>
      <w:r>
        <w:rPr>
          <w:rFonts w:ascii="宋体" w:hAnsi="宋体"/>
          <w:color w:val="000000"/>
          <w:sz w:val="20"/>
          <w:szCs w:val="20"/>
        </w:rPr>
        <w:t>个日历日内交货，产品的附件、备品备件及专用工具、技术文件和资料等应随产品一同交付。</w:t>
      </w:r>
      <w:r>
        <w:rPr>
          <w:rFonts w:eastAsia="Times New Roman"/>
          <w:color w:val="000000"/>
          <w:sz w:val="20"/>
          <w:szCs w:val="20"/>
        </w:rPr>
        <w:tab/>
      </w:r>
    </w:p>
    <w:p>
      <w:pPr>
        <w:snapToGrid w:val="0"/>
        <w:spacing w:line="360" w:lineRule="exact"/>
        <w:ind w:firstLine="470" w:firstLineChars="196"/>
        <w:rPr>
          <w:rFonts w:ascii="宋体" w:hAnsi="宋体"/>
          <w:b/>
          <w:bCs/>
          <w:color w:val="000000"/>
          <w:sz w:val="20"/>
          <w:szCs w:val="20"/>
        </w:rPr>
      </w:pPr>
      <w:r>
        <w:rPr>
          <w:rFonts w:ascii="宋体" w:hAnsi="宋体"/>
          <w:b/>
          <w:bCs/>
          <w:color w:val="000000"/>
          <w:sz w:val="20"/>
          <w:szCs w:val="20"/>
        </w:rPr>
        <w:t>第五条   运输及包装方式的要求</w:t>
      </w:r>
    </w:p>
    <w:p>
      <w:pPr>
        <w:snapToGrid w:val="0"/>
        <w:spacing w:line="360" w:lineRule="exact"/>
        <w:ind w:firstLine="480" w:firstLineChars="200"/>
        <w:rPr>
          <w:rFonts w:ascii="宋体" w:hAnsi="宋体"/>
          <w:color w:val="000000"/>
          <w:sz w:val="20"/>
          <w:szCs w:val="20"/>
        </w:rPr>
      </w:pPr>
      <w:r>
        <w:rPr>
          <w:rFonts w:ascii="宋体" w:hAnsi="宋体"/>
          <w:color w:val="000000"/>
          <w:sz w:val="20"/>
          <w:szCs w:val="20"/>
        </w:rPr>
        <w:t>乙方负责产品正式验收合格前的一切费用（包括运输、包装、仓储、安装、保险等费用）。</w:t>
      </w:r>
    </w:p>
    <w:p>
      <w:pPr>
        <w:snapToGrid w:val="0"/>
        <w:spacing w:line="360" w:lineRule="exact"/>
        <w:ind w:firstLine="480" w:firstLineChars="200"/>
        <w:rPr>
          <w:rFonts w:ascii="宋体" w:hAnsi="宋体"/>
          <w:color w:val="000000"/>
          <w:sz w:val="20"/>
          <w:szCs w:val="20"/>
        </w:rPr>
      </w:pPr>
      <w:r>
        <w:rPr>
          <w:rFonts w:ascii="宋体" w:hAnsi="宋体"/>
          <w:color w:val="000000"/>
          <w:sz w:val="20"/>
          <w:szCs w:val="20"/>
        </w:rPr>
        <w:t>包装方式按照原厂出厂原标准，乙方承担由于其包装或其防护措施不妥而引起货物锈蚀、损坏和丢失等任何损失，并按照本合同第十条承担因此而发生的违约责任。</w:t>
      </w:r>
    </w:p>
    <w:p>
      <w:pPr>
        <w:snapToGrid w:val="0"/>
        <w:spacing w:line="360" w:lineRule="exact"/>
        <w:ind w:firstLine="470" w:firstLineChars="196"/>
        <w:rPr>
          <w:rFonts w:ascii="宋体" w:hAnsi="宋体"/>
          <w:b/>
          <w:bCs/>
          <w:color w:val="000000"/>
          <w:sz w:val="20"/>
          <w:szCs w:val="20"/>
        </w:rPr>
      </w:pPr>
      <w:r>
        <w:rPr>
          <w:rFonts w:ascii="宋体" w:hAnsi="宋体"/>
          <w:b/>
          <w:bCs/>
          <w:color w:val="000000"/>
          <w:sz w:val="20"/>
          <w:szCs w:val="20"/>
        </w:rPr>
        <w:t>第六条   安装、调试、验收及相关技术文件、资料</w:t>
      </w:r>
    </w:p>
    <w:p>
      <w:pPr>
        <w:snapToGrid w:val="0"/>
        <w:spacing w:line="360" w:lineRule="exact"/>
        <w:ind w:firstLine="480" w:firstLineChars="200"/>
        <w:rPr>
          <w:rFonts w:ascii="宋体" w:hAnsi="宋体"/>
          <w:color w:val="000000"/>
          <w:sz w:val="20"/>
          <w:szCs w:val="20"/>
        </w:rPr>
      </w:pPr>
      <w:r>
        <w:rPr>
          <w:rFonts w:ascii="宋体" w:hAnsi="宋体"/>
          <w:color w:val="000000"/>
          <w:sz w:val="20"/>
          <w:szCs w:val="20"/>
        </w:rPr>
        <w:t>乙方将产品运输并卸至甲方指定地点，甲方将会同乙方在到货后</w:t>
      </w:r>
      <w:r>
        <w:rPr>
          <w:rFonts w:ascii="宋体" w:hAnsi="宋体"/>
          <w:color w:val="FF0000"/>
          <w:sz w:val="20"/>
          <w:szCs w:val="20"/>
          <w:u w:val="single"/>
        </w:rPr>
        <w:t xml:space="preserve">    </w:t>
      </w:r>
      <w:r>
        <w:rPr>
          <w:rFonts w:ascii="宋体" w:hAnsi="宋体"/>
          <w:color w:val="000000"/>
          <w:sz w:val="20"/>
          <w:szCs w:val="20"/>
        </w:rPr>
        <w:t>个日历日内共同进行开箱检验。</w:t>
      </w:r>
    </w:p>
    <w:p>
      <w:pPr>
        <w:snapToGrid w:val="0"/>
        <w:spacing w:line="360" w:lineRule="exact"/>
        <w:ind w:firstLine="480" w:firstLineChars="200"/>
        <w:rPr>
          <w:rFonts w:ascii="宋体" w:hAnsi="宋体"/>
          <w:color w:val="000000"/>
          <w:sz w:val="20"/>
          <w:szCs w:val="20"/>
        </w:rPr>
      </w:pPr>
      <w:r>
        <w:rPr>
          <w:rFonts w:ascii="宋体" w:hAnsi="宋体"/>
          <w:color w:val="000000"/>
          <w:sz w:val="20"/>
          <w:szCs w:val="20"/>
        </w:rPr>
        <w:t>乙方负责免费安装、调试。安装、调试完成后，</w:t>
      </w:r>
      <w:r>
        <w:rPr>
          <w:rFonts w:ascii="宋体" w:hAnsi="宋体"/>
          <w:color w:val="C00000"/>
          <w:sz w:val="20"/>
          <w:szCs w:val="20"/>
        </w:rPr>
        <w:t>由甲</w:t>
      </w:r>
      <w:r>
        <w:rPr>
          <w:rFonts w:ascii="宋体" w:hAnsi="宋体" w:hint="eastAsia"/>
          <w:color w:val="C00000"/>
          <w:sz w:val="20"/>
          <w:szCs w:val="20"/>
        </w:rPr>
        <w:t>方组织</w:t>
      </w:r>
      <w:r>
        <w:rPr>
          <w:rFonts w:ascii="宋体" w:hAnsi="宋体"/>
          <w:color w:val="C00000"/>
          <w:sz w:val="20"/>
          <w:szCs w:val="20"/>
        </w:rPr>
        <w:t>技术验收和商务验收，</w:t>
      </w:r>
      <w:r>
        <w:rPr>
          <w:rFonts w:ascii="宋体" w:hAnsi="宋体" w:hint="eastAsia"/>
          <w:color w:val="C00000"/>
          <w:sz w:val="20"/>
          <w:szCs w:val="20"/>
        </w:rPr>
        <w:t>乙方做好协助配合。</w:t>
      </w:r>
      <w:r>
        <w:rPr>
          <w:rFonts w:ascii="宋体" w:hAnsi="宋体"/>
          <w:color w:val="000000"/>
          <w:sz w:val="20"/>
          <w:szCs w:val="20"/>
        </w:rPr>
        <w:t>验收合格后签署《验收报告》。产品质量和安装调试检验标准遵照国家相关规定和最新标准执行。</w:t>
      </w:r>
    </w:p>
    <w:p>
      <w:pPr>
        <w:snapToGrid w:val="0"/>
        <w:spacing w:line="360" w:lineRule="exact"/>
        <w:ind w:firstLine="480" w:firstLineChars="200"/>
        <w:rPr>
          <w:rFonts w:ascii="宋体" w:hAnsi="宋体"/>
          <w:color w:val="000000"/>
          <w:sz w:val="20"/>
          <w:szCs w:val="20"/>
        </w:rPr>
      </w:pPr>
      <w:r>
        <w:rPr>
          <w:rFonts w:ascii="宋体" w:hAnsi="宋体"/>
          <w:color w:val="000000"/>
          <w:sz w:val="20"/>
          <w:szCs w:val="20"/>
        </w:rPr>
        <w:t>验收中如发现有质量不合格或型号规格、数量等与</w:t>
      </w:r>
      <w:r>
        <w:rPr>
          <w:rFonts w:ascii="宋体" w:hAnsi="宋体" w:hint="eastAsia"/>
          <w:color w:val="000000"/>
          <w:sz w:val="20"/>
          <w:szCs w:val="20"/>
        </w:rPr>
        <w:t>合同</w:t>
      </w:r>
      <w:r>
        <w:rPr>
          <w:rFonts w:ascii="宋体" w:hAnsi="宋体"/>
          <w:color w:val="000000"/>
          <w:sz w:val="20"/>
          <w:szCs w:val="20"/>
        </w:rPr>
        <w:t>货物清单不符、提交的技术文件和资料不完整等情形，乙方应免费更换或补齐，并按照本合同第十条承担因此发生的违约责任。</w:t>
      </w:r>
    </w:p>
    <w:p>
      <w:pPr>
        <w:snapToGrid w:val="0"/>
        <w:spacing w:line="360" w:lineRule="exact"/>
        <w:ind w:left="900" w:hanging="420" w:leftChars="200" w:hangingChars="175"/>
        <w:rPr>
          <w:rFonts w:ascii="宋体" w:hAnsi="宋体"/>
          <w:color w:val="000000"/>
          <w:sz w:val="20"/>
          <w:szCs w:val="20"/>
        </w:rPr>
      </w:pPr>
      <w:r>
        <w:rPr>
          <w:rFonts w:ascii="宋体" w:hAnsi="宋体"/>
          <w:color w:val="000000"/>
          <w:sz w:val="20"/>
          <w:szCs w:val="20"/>
        </w:rPr>
        <w:t>乙方应向甲方提供但不限于如下技术文件和资料：</w:t>
      </w:r>
    </w:p>
    <w:p>
      <w:pPr>
        <w:snapToGrid w:val="0"/>
        <w:spacing w:line="360" w:lineRule="exact"/>
        <w:ind w:left="900" w:hanging="420" w:leftChars="200" w:hangingChars="175"/>
        <w:rPr>
          <w:rFonts w:ascii="宋体" w:hAnsi="宋体"/>
          <w:color w:val="000000"/>
          <w:sz w:val="20"/>
          <w:szCs w:val="20"/>
        </w:rPr>
      </w:pPr>
      <w:r>
        <w:rPr>
          <w:rFonts w:eastAsia="Times New Roman"/>
          <w:color w:val="000000"/>
          <w:sz w:val="20"/>
          <w:szCs w:val="20"/>
        </w:rPr>
        <w:t>1</w:t>
      </w:r>
      <w:r>
        <w:rPr>
          <w:rFonts w:ascii="宋体" w:hAnsi="宋体"/>
          <w:color w:val="000000"/>
          <w:sz w:val="20"/>
          <w:szCs w:val="20"/>
        </w:rPr>
        <w:t>．产品安装、操作和维修保养手册；</w:t>
      </w:r>
    </w:p>
    <w:p>
      <w:pPr>
        <w:snapToGrid w:val="0"/>
        <w:spacing w:line="360" w:lineRule="exact"/>
        <w:ind w:left="900" w:hanging="420" w:leftChars="200" w:hangingChars="175"/>
        <w:rPr>
          <w:rFonts w:ascii="宋体" w:hAnsi="宋体"/>
          <w:color w:val="000000"/>
          <w:sz w:val="20"/>
          <w:szCs w:val="20"/>
        </w:rPr>
      </w:pPr>
      <w:r>
        <w:rPr>
          <w:rFonts w:eastAsia="Times New Roman"/>
          <w:color w:val="000000"/>
          <w:sz w:val="20"/>
          <w:szCs w:val="20"/>
        </w:rPr>
        <w:t>2</w:t>
      </w:r>
      <w:r>
        <w:rPr>
          <w:rFonts w:ascii="宋体" w:hAnsi="宋体"/>
          <w:color w:val="000000"/>
          <w:sz w:val="20"/>
          <w:szCs w:val="20"/>
        </w:rPr>
        <w:t>．产品使用说明书；</w:t>
      </w:r>
    </w:p>
    <w:p>
      <w:pPr>
        <w:snapToGrid w:val="0"/>
        <w:spacing w:line="360" w:lineRule="exact"/>
        <w:ind w:left="900" w:hanging="420" w:leftChars="200" w:hangingChars="175"/>
        <w:rPr>
          <w:rFonts w:ascii="宋体" w:hAnsi="宋体"/>
          <w:color w:val="000000"/>
          <w:sz w:val="20"/>
          <w:szCs w:val="20"/>
        </w:rPr>
      </w:pPr>
      <w:r>
        <w:rPr>
          <w:rFonts w:eastAsia="Times New Roman"/>
          <w:color w:val="000000"/>
          <w:sz w:val="20"/>
          <w:szCs w:val="20"/>
        </w:rPr>
        <w:t>3</w:t>
      </w:r>
      <w:r>
        <w:rPr>
          <w:rFonts w:ascii="宋体" w:hAnsi="宋体"/>
          <w:color w:val="000000"/>
          <w:sz w:val="20"/>
          <w:szCs w:val="20"/>
        </w:rPr>
        <w:t>．产品出厂检验合格证；</w:t>
      </w:r>
    </w:p>
    <w:p>
      <w:pPr>
        <w:snapToGrid w:val="0"/>
        <w:spacing w:line="360" w:lineRule="exact"/>
        <w:ind w:left="900" w:hanging="420" w:leftChars="200" w:hangingChars="175"/>
        <w:rPr>
          <w:rFonts w:ascii="宋体" w:hAnsi="宋体"/>
          <w:color w:val="000000"/>
          <w:sz w:val="20"/>
          <w:szCs w:val="20"/>
        </w:rPr>
      </w:pPr>
      <w:r>
        <w:rPr>
          <w:rFonts w:eastAsia="Times New Roman"/>
          <w:color w:val="000000"/>
          <w:sz w:val="20"/>
          <w:szCs w:val="20"/>
        </w:rPr>
        <w:t>4</w:t>
      </w:r>
      <w:r>
        <w:rPr>
          <w:rFonts w:ascii="宋体" w:hAnsi="宋体"/>
          <w:color w:val="000000"/>
          <w:sz w:val="20"/>
          <w:szCs w:val="20"/>
        </w:rPr>
        <w:t>．产品到货清单；</w:t>
      </w:r>
    </w:p>
    <w:p>
      <w:pPr>
        <w:snapToGrid w:val="0"/>
        <w:spacing w:line="360" w:lineRule="exact"/>
        <w:ind w:firstLine="435"/>
        <w:rPr>
          <w:rFonts w:ascii="宋体" w:hAnsi="宋体"/>
          <w:color w:val="000000"/>
          <w:sz w:val="20"/>
          <w:szCs w:val="20"/>
        </w:rPr>
      </w:pPr>
      <w:r>
        <w:rPr>
          <w:rFonts w:eastAsia="Times New Roman"/>
          <w:color w:val="000000"/>
          <w:sz w:val="20"/>
          <w:szCs w:val="20"/>
        </w:rPr>
        <w:t>5</w:t>
      </w:r>
      <w:r>
        <w:rPr>
          <w:rFonts w:ascii="宋体" w:hAnsi="宋体"/>
          <w:color w:val="000000"/>
          <w:sz w:val="20"/>
          <w:szCs w:val="20"/>
        </w:rPr>
        <w:t>．产品保修证明；</w:t>
      </w:r>
    </w:p>
    <w:p>
      <w:pPr>
        <w:snapToGrid w:val="0"/>
        <w:spacing w:line="360" w:lineRule="exact"/>
        <w:ind w:firstLine="435"/>
        <w:rPr>
          <w:rFonts w:ascii="宋体" w:hAnsi="宋体"/>
          <w:color w:val="000000"/>
          <w:sz w:val="20"/>
          <w:szCs w:val="20"/>
        </w:rPr>
      </w:pPr>
      <w:r>
        <w:rPr>
          <w:rFonts w:ascii="宋体" w:hAnsi="宋体"/>
          <w:color w:val="000000"/>
          <w:sz w:val="20"/>
          <w:szCs w:val="20"/>
        </w:rPr>
        <w:t>6．目的港商检部门出具的商检合格证书；</w:t>
      </w:r>
    </w:p>
    <w:p>
      <w:pPr>
        <w:snapToGrid w:val="0"/>
        <w:spacing w:line="360" w:lineRule="exact"/>
        <w:ind w:firstLine="435"/>
        <w:rPr>
          <w:rFonts w:ascii="宋体" w:hAnsi="宋体"/>
          <w:color w:val="000000"/>
          <w:sz w:val="20"/>
          <w:szCs w:val="20"/>
        </w:rPr>
      </w:pPr>
      <w:r>
        <w:rPr>
          <w:rFonts w:ascii="宋体" w:hAnsi="宋体"/>
          <w:color w:val="000000"/>
          <w:sz w:val="20"/>
          <w:szCs w:val="20"/>
        </w:rPr>
        <w:t>7．货物装箱单；</w:t>
      </w:r>
    </w:p>
    <w:p>
      <w:pPr>
        <w:snapToGrid w:val="0"/>
        <w:spacing w:line="360" w:lineRule="exact"/>
        <w:ind w:firstLine="435"/>
        <w:rPr>
          <w:rFonts w:ascii="宋体" w:hAnsi="宋体"/>
          <w:color w:val="000000"/>
          <w:sz w:val="20"/>
          <w:szCs w:val="20"/>
        </w:rPr>
      </w:pPr>
      <w:r>
        <w:rPr>
          <w:rFonts w:ascii="宋体" w:hAnsi="宋体"/>
          <w:color w:val="000000"/>
          <w:sz w:val="20"/>
          <w:szCs w:val="20"/>
        </w:rPr>
        <w:t>8．海运或空运提单；</w:t>
      </w:r>
    </w:p>
    <w:p>
      <w:pPr>
        <w:snapToGrid w:val="0"/>
        <w:spacing w:line="360" w:lineRule="exact"/>
        <w:ind w:firstLine="435"/>
        <w:rPr>
          <w:rFonts w:ascii="宋体" w:hAnsi="宋体"/>
          <w:color w:val="000000"/>
          <w:sz w:val="20"/>
          <w:szCs w:val="20"/>
        </w:rPr>
      </w:pPr>
      <w:r>
        <w:rPr>
          <w:rFonts w:ascii="宋体" w:hAnsi="宋体" w:hint="eastAsia"/>
          <w:color w:val="000000"/>
          <w:sz w:val="20"/>
          <w:szCs w:val="20"/>
        </w:rPr>
        <w:t>9</w:t>
      </w:r>
      <w:r>
        <w:rPr>
          <w:rFonts w:ascii="宋体" w:hAnsi="宋体"/>
          <w:color w:val="000000"/>
          <w:sz w:val="20"/>
          <w:szCs w:val="20"/>
        </w:rPr>
        <w:t>．保险单；</w:t>
      </w:r>
    </w:p>
    <w:p>
      <w:pPr>
        <w:snapToGrid w:val="0"/>
        <w:spacing w:line="360" w:lineRule="exact"/>
        <w:ind w:firstLine="480" w:firstLineChars="200"/>
        <w:rPr>
          <w:rFonts w:ascii="宋体" w:hAnsi="宋体"/>
          <w:color w:val="000000"/>
          <w:sz w:val="20"/>
          <w:szCs w:val="20"/>
        </w:rPr>
      </w:pPr>
      <w:r>
        <w:rPr>
          <w:rFonts w:ascii="宋体" w:hAnsi="宋体"/>
          <w:color w:val="000000"/>
          <w:sz w:val="20"/>
          <w:szCs w:val="20"/>
        </w:rPr>
        <w:t>10．报关单；</w:t>
      </w:r>
    </w:p>
    <w:p>
      <w:pPr>
        <w:snapToGrid w:val="0"/>
        <w:spacing w:line="360" w:lineRule="exact"/>
        <w:ind w:firstLine="480" w:firstLineChars="200"/>
        <w:rPr>
          <w:rFonts w:ascii="宋体" w:hAnsi="宋体"/>
          <w:color w:val="000000"/>
          <w:sz w:val="20"/>
          <w:szCs w:val="20"/>
        </w:rPr>
      </w:pPr>
      <w:r>
        <w:rPr>
          <w:rFonts w:ascii="宋体" w:hAnsi="宋体"/>
          <w:color w:val="000000"/>
          <w:sz w:val="20"/>
          <w:szCs w:val="20"/>
        </w:rPr>
        <w:t>11．特种设备，有毒、有害、危险物品或特殊货物的生产许可证明，质量检测合格证明，销售、运输许可证明等材料。</w:t>
      </w:r>
    </w:p>
    <w:p>
      <w:pPr>
        <w:snapToGrid w:val="0"/>
        <w:spacing w:line="360" w:lineRule="exact"/>
        <w:ind w:firstLine="470" w:firstLineChars="196"/>
        <w:rPr>
          <w:rFonts w:ascii="宋体" w:hAnsi="宋体"/>
          <w:b/>
          <w:bCs/>
          <w:color w:val="000000"/>
          <w:sz w:val="20"/>
          <w:szCs w:val="20"/>
        </w:rPr>
      </w:pPr>
      <w:r>
        <w:rPr>
          <w:rFonts w:ascii="宋体" w:hAnsi="宋体"/>
          <w:b/>
          <w:bCs/>
          <w:color w:val="000000"/>
          <w:sz w:val="20"/>
          <w:szCs w:val="20"/>
        </w:rPr>
        <w:t>第七条   技术培训</w:t>
      </w:r>
    </w:p>
    <w:p>
      <w:pPr>
        <w:snapToGrid w:val="0"/>
        <w:spacing w:line="360" w:lineRule="exact"/>
        <w:ind w:firstLine="480" w:firstLineChars="200"/>
        <w:rPr>
          <w:rFonts w:ascii="宋体" w:hAnsi="宋体"/>
          <w:color w:val="000000"/>
          <w:sz w:val="20"/>
          <w:szCs w:val="20"/>
        </w:rPr>
      </w:pPr>
      <w:r>
        <w:rPr>
          <w:rFonts w:ascii="宋体" w:hAnsi="宋体"/>
          <w:color w:val="000000"/>
          <w:sz w:val="20"/>
          <w:szCs w:val="20"/>
        </w:rPr>
        <w:t>乙方提供详细技术资料并免费对甲方</w:t>
      </w:r>
      <w:r>
        <w:rPr>
          <w:rFonts w:ascii="宋体" w:hAnsi="宋体"/>
          <w:color w:val="FF0000"/>
          <w:sz w:val="20"/>
          <w:szCs w:val="20"/>
          <w:u w:val="single"/>
        </w:rPr>
        <w:t xml:space="preserve">     </w:t>
      </w:r>
      <w:r>
        <w:rPr>
          <w:rFonts w:ascii="宋体" w:hAnsi="宋体"/>
          <w:color w:val="000000"/>
          <w:sz w:val="20"/>
          <w:szCs w:val="20"/>
        </w:rPr>
        <w:t>人进行</w:t>
      </w:r>
      <w:r>
        <w:rPr>
          <w:rFonts w:ascii="宋体" w:hAnsi="宋体"/>
          <w:color w:val="FF0000"/>
          <w:sz w:val="20"/>
          <w:szCs w:val="20"/>
          <w:u w:val="single"/>
        </w:rPr>
        <w:t xml:space="preserve">     </w:t>
      </w:r>
      <w:r>
        <w:rPr>
          <w:rFonts w:ascii="宋体" w:hAnsi="宋体"/>
          <w:color w:val="000000"/>
          <w:sz w:val="20"/>
          <w:szCs w:val="20"/>
        </w:rPr>
        <w:t>天技术培训。</w:t>
      </w:r>
    </w:p>
    <w:p>
      <w:pPr>
        <w:snapToGrid w:val="0"/>
        <w:spacing w:line="360" w:lineRule="exact"/>
        <w:ind w:firstLine="480" w:firstLineChars="200"/>
        <w:rPr>
          <w:rFonts w:ascii="宋体" w:hAnsi="宋体"/>
          <w:color w:val="000000"/>
          <w:sz w:val="20"/>
          <w:szCs w:val="20"/>
        </w:rPr>
      </w:pPr>
      <w:r>
        <w:rPr>
          <w:rFonts w:ascii="宋体" w:hAnsi="宋体"/>
          <w:color w:val="000000"/>
          <w:sz w:val="20"/>
          <w:szCs w:val="20"/>
        </w:rPr>
        <w:t>培训的内容及方案应由双方协商制定。乙方前来进行技术培训的人员的费用包括在合同总价中。</w:t>
      </w:r>
    </w:p>
    <w:p>
      <w:pPr>
        <w:snapToGrid w:val="0"/>
        <w:spacing w:line="360" w:lineRule="exact"/>
        <w:ind w:firstLine="470" w:firstLineChars="196"/>
        <w:rPr>
          <w:rFonts w:ascii="宋体" w:hAnsi="宋体"/>
          <w:b/>
          <w:bCs/>
          <w:color w:val="000000"/>
          <w:sz w:val="20"/>
          <w:szCs w:val="20"/>
        </w:rPr>
      </w:pPr>
      <w:r>
        <w:rPr>
          <w:rFonts w:ascii="宋体" w:hAnsi="宋体"/>
          <w:b/>
          <w:bCs/>
          <w:color w:val="000000"/>
          <w:sz w:val="20"/>
          <w:szCs w:val="20"/>
        </w:rPr>
        <w:t>第八条   售后服务</w:t>
      </w:r>
    </w:p>
    <w:p>
      <w:pPr>
        <w:snapToGrid w:val="0"/>
        <w:spacing w:line="360" w:lineRule="exact"/>
        <w:ind w:firstLine="480" w:firstLineChars="200"/>
        <w:rPr>
          <w:rFonts w:ascii="宋体" w:hAnsi="宋体"/>
          <w:color w:val="000000"/>
          <w:sz w:val="20"/>
          <w:szCs w:val="20"/>
        </w:rPr>
      </w:pPr>
      <w:r>
        <w:rPr>
          <w:rFonts w:ascii="宋体" w:hAnsi="宋体"/>
          <w:color w:val="000000"/>
          <w:sz w:val="20"/>
          <w:szCs w:val="20"/>
        </w:rPr>
        <w:t>产品全部验收合格后（以技术验收合格签字为标准），乙方向甲方免费提供</w:t>
      </w:r>
      <w:r>
        <w:rPr>
          <w:rFonts w:ascii="宋体" w:hAnsi="宋体" w:hint="eastAsia"/>
          <w:color w:val="FF0000"/>
          <w:sz w:val="20"/>
          <w:szCs w:val="20"/>
        </w:rPr>
        <w:t>_</w:t>
      </w:r>
      <w:r>
        <w:rPr>
          <w:rFonts w:ascii="宋体" w:hAnsi="宋体"/>
          <w:color w:val="FF0000"/>
          <w:sz w:val="20"/>
          <w:szCs w:val="20"/>
        </w:rPr>
        <w:t>_____</w:t>
      </w:r>
      <w:r>
        <w:rPr>
          <w:rFonts w:ascii="宋体" w:hAnsi="宋体"/>
          <w:sz w:val="20"/>
          <w:szCs w:val="20"/>
        </w:rPr>
        <w:t>年上门保修服务</w:t>
      </w:r>
      <w:r>
        <w:rPr>
          <w:rFonts w:ascii="宋体" w:hAnsi="宋体"/>
          <w:color w:val="000000"/>
          <w:sz w:val="20"/>
          <w:szCs w:val="20"/>
        </w:rPr>
        <w:t>、</w:t>
      </w:r>
      <w:r>
        <w:rPr>
          <w:rFonts w:ascii="宋体" w:hAnsi="宋体"/>
          <w:color w:val="FF0000"/>
          <w:sz w:val="20"/>
          <w:szCs w:val="20"/>
        </w:rPr>
        <w:t>____</w:t>
      </w:r>
      <w:r>
        <w:rPr>
          <w:rFonts w:ascii="宋体" w:hAnsi="宋体"/>
          <w:color w:val="000000"/>
          <w:sz w:val="20"/>
          <w:szCs w:val="20"/>
        </w:rPr>
        <w:t>年以上免费升级服务（免费升级服务适用于软件产品），质保期为</w:t>
      </w:r>
      <w:r>
        <w:rPr>
          <w:rFonts w:ascii="宋体" w:hAnsi="宋体"/>
          <w:color w:val="FF0000"/>
          <w:sz w:val="20"/>
          <w:szCs w:val="20"/>
          <w:u w:val="single"/>
        </w:rPr>
        <w:t xml:space="preserve">    </w:t>
      </w:r>
      <w:r>
        <w:rPr>
          <w:rFonts w:ascii="宋体" w:hAnsi="宋体"/>
          <w:color w:val="000000"/>
          <w:sz w:val="20"/>
          <w:szCs w:val="20"/>
        </w:rPr>
        <w:t>年。</w:t>
      </w:r>
    </w:p>
    <w:p>
      <w:pPr>
        <w:snapToGrid w:val="0"/>
        <w:spacing w:line="360" w:lineRule="exact"/>
        <w:ind w:firstLine="480" w:firstLineChars="200"/>
        <w:rPr>
          <w:rFonts w:ascii="宋体" w:hAnsi="宋体"/>
          <w:color w:val="000000"/>
          <w:sz w:val="20"/>
          <w:szCs w:val="20"/>
        </w:rPr>
      </w:pPr>
      <w:r>
        <w:rPr>
          <w:rFonts w:ascii="宋体" w:hAnsi="宋体"/>
          <w:color w:val="000000"/>
          <w:sz w:val="20"/>
          <w:szCs w:val="20"/>
        </w:rPr>
        <w:t>质保期内，如因质量问题而引起产品损坏，乙方应对产品予以维修或更换，全部服务费和更换产品或零配件的费用由乙方承担；乙方如不能修理或不能调换，按产品原价赔偿处理。</w:t>
      </w:r>
    </w:p>
    <w:p>
      <w:pPr>
        <w:snapToGrid w:val="0"/>
        <w:spacing w:line="360" w:lineRule="exact"/>
        <w:ind w:firstLine="480" w:firstLineChars="200"/>
        <w:rPr>
          <w:rFonts w:ascii="宋体" w:hAnsi="宋体"/>
          <w:color w:val="000000"/>
          <w:sz w:val="20"/>
          <w:szCs w:val="20"/>
        </w:rPr>
      </w:pPr>
      <w:r>
        <w:rPr>
          <w:rFonts w:ascii="宋体" w:hAnsi="宋体" w:hint="eastAsia"/>
          <w:color w:val="000000"/>
          <w:sz w:val="20"/>
          <w:szCs w:val="20"/>
        </w:rPr>
        <w:t>质保期内，乙方</w:t>
      </w:r>
      <w:r>
        <w:rPr>
          <w:rFonts w:ascii="宋体" w:hAnsi="宋体"/>
          <w:color w:val="000000"/>
          <w:sz w:val="20"/>
          <w:szCs w:val="20"/>
        </w:rPr>
        <w:t>将向甲方提供优质的售后技术支持服务，开通</w:t>
      </w:r>
      <w:r>
        <w:rPr>
          <w:rFonts w:ascii="宋体" w:hAnsi="宋体"/>
          <w:color w:val="FF0000"/>
          <w:sz w:val="20"/>
          <w:szCs w:val="20"/>
          <w:u w:val="single"/>
        </w:rPr>
        <w:t xml:space="preserve">    </w:t>
      </w:r>
      <w:r>
        <w:rPr>
          <w:rFonts w:ascii="宋体" w:hAnsi="宋体"/>
          <w:color w:val="000000"/>
          <w:sz w:val="20"/>
          <w:szCs w:val="20"/>
        </w:rPr>
        <w:t>小时热线电话接受甲方的电话技术咨询；如故障不能排除，乙方应在</w:t>
      </w:r>
      <w:r>
        <w:rPr>
          <w:rFonts w:ascii="宋体" w:hAnsi="宋体"/>
          <w:color w:val="FF0000"/>
          <w:sz w:val="20"/>
          <w:szCs w:val="20"/>
          <w:u w:val="single"/>
        </w:rPr>
        <w:t xml:space="preserve">    </w:t>
      </w:r>
      <w:r>
        <w:rPr>
          <w:rFonts w:ascii="宋体" w:hAnsi="宋体"/>
          <w:color w:val="000000"/>
          <w:sz w:val="20"/>
          <w:szCs w:val="20"/>
        </w:rPr>
        <w:t>小时内提供现场服务，待产品运行正常后撤离现场。</w:t>
      </w:r>
    </w:p>
    <w:p>
      <w:pPr>
        <w:snapToGrid w:val="0"/>
        <w:spacing w:line="360" w:lineRule="exact"/>
        <w:ind w:firstLine="470" w:firstLineChars="196"/>
        <w:rPr>
          <w:rFonts w:ascii="宋体" w:hAnsi="宋体"/>
          <w:color w:val="000000"/>
          <w:sz w:val="20"/>
          <w:szCs w:val="20"/>
        </w:rPr>
      </w:pPr>
      <w:r>
        <w:rPr>
          <w:rFonts w:ascii="宋体" w:hAnsi="宋体"/>
          <w:color w:val="000000"/>
          <w:sz w:val="20"/>
          <w:szCs w:val="20"/>
        </w:rPr>
        <w:t>保修期内，乙方应定期对产品进行免费维护保养、维修或更换零配件。保修期满后，</w:t>
      </w:r>
      <w:r>
        <w:rPr>
          <w:rFonts w:ascii="宋体" w:hAnsi="宋体" w:hint="eastAsia"/>
          <w:color w:val="000000"/>
          <w:sz w:val="20"/>
          <w:szCs w:val="20"/>
        </w:rPr>
        <w:t>乙方</w:t>
      </w:r>
      <w:r>
        <w:rPr>
          <w:rFonts w:ascii="宋体" w:hAnsi="宋体"/>
          <w:color w:val="000000"/>
          <w:sz w:val="20"/>
          <w:szCs w:val="20"/>
        </w:rPr>
        <w:t>必须继续支持维修，并按成本价标准收取维修及零配件费用。在整个产品运行过程中，</w:t>
      </w:r>
      <w:r>
        <w:rPr>
          <w:rFonts w:ascii="宋体" w:hAnsi="宋体" w:hint="eastAsia"/>
          <w:color w:val="000000"/>
          <w:sz w:val="20"/>
          <w:szCs w:val="20"/>
        </w:rPr>
        <w:t>乙方</w:t>
      </w:r>
      <w:r>
        <w:rPr>
          <w:rFonts w:ascii="宋体" w:hAnsi="宋体"/>
          <w:color w:val="000000"/>
          <w:sz w:val="20"/>
          <w:szCs w:val="20"/>
        </w:rPr>
        <w:t>帮助</w:t>
      </w:r>
      <w:r>
        <w:rPr>
          <w:rFonts w:ascii="宋体" w:hAnsi="宋体" w:hint="eastAsia"/>
          <w:color w:val="000000"/>
          <w:sz w:val="20"/>
          <w:szCs w:val="20"/>
        </w:rPr>
        <w:t>甲方</w:t>
      </w:r>
      <w:r>
        <w:rPr>
          <w:rFonts w:ascii="宋体" w:hAnsi="宋体"/>
          <w:color w:val="000000"/>
          <w:sz w:val="20"/>
          <w:szCs w:val="20"/>
        </w:rPr>
        <w:t>解决在应用过程中遇到的各种技术问题。</w:t>
      </w:r>
    </w:p>
    <w:p>
      <w:pPr>
        <w:snapToGrid w:val="0"/>
        <w:spacing w:line="360" w:lineRule="exact"/>
        <w:ind w:firstLine="470" w:firstLineChars="196"/>
        <w:rPr>
          <w:rFonts w:ascii="宋体" w:hAnsi="宋体"/>
          <w:b/>
          <w:bCs/>
          <w:color w:val="000000"/>
          <w:sz w:val="20"/>
          <w:szCs w:val="20"/>
        </w:rPr>
      </w:pPr>
      <w:r>
        <w:rPr>
          <w:rFonts w:ascii="宋体" w:hAnsi="宋体"/>
          <w:b/>
          <w:bCs/>
          <w:color w:val="000000"/>
          <w:sz w:val="20"/>
          <w:szCs w:val="20"/>
        </w:rPr>
        <w:t>第九条   履约保证金</w:t>
      </w:r>
      <w:r>
        <w:rPr>
          <w:rFonts w:ascii="宋体" w:hAnsi="宋体"/>
          <w:b/>
          <w:bCs/>
          <w:color w:val="FF0000"/>
          <w:sz w:val="20"/>
          <w:szCs w:val="20"/>
          <w:highlight w:val="yellow"/>
        </w:rPr>
        <w:t>（有</w:t>
      </w:r>
      <w:r>
        <w:rPr>
          <w:rFonts w:ascii="宋体" w:hAnsi="宋体" w:hint="eastAsia"/>
          <w:b/>
          <w:bCs/>
          <w:color w:val="FF0000"/>
          <w:sz w:val="20"/>
          <w:szCs w:val="20"/>
          <w:highlight w:val="yellow"/>
        </w:rPr>
        <w:t xml:space="preserve"> □</w:t>
      </w:r>
      <w:r>
        <w:rPr>
          <w:rFonts w:ascii="宋体" w:hAnsi="宋体"/>
          <w:b/>
          <w:bCs/>
          <w:color w:val="FF0000"/>
          <w:sz w:val="20"/>
          <w:szCs w:val="20"/>
          <w:highlight w:val="yellow"/>
        </w:rPr>
        <w:t>，无</w:t>
      </w:r>
      <w:r>
        <w:rPr>
          <w:rFonts w:ascii="宋体" w:hAnsi="宋体" w:hint="eastAsia"/>
          <w:b/>
          <w:bCs/>
          <w:color w:val="FF0000"/>
          <w:sz w:val="20"/>
          <w:szCs w:val="20"/>
          <w:highlight w:val="yellow"/>
        </w:rPr>
        <w:t xml:space="preserve"> □，勾选</w:t>
      </w:r>
      <w:r>
        <w:rPr>
          <w:rFonts w:ascii="宋体" w:hAnsi="宋体"/>
          <w:b/>
          <w:bCs/>
          <w:color w:val="FF0000"/>
          <w:sz w:val="20"/>
          <w:szCs w:val="20"/>
          <w:highlight w:val="yellow"/>
        </w:rPr>
        <w:t>）</w:t>
      </w:r>
    </w:p>
    <w:p>
      <w:pPr>
        <w:snapToGrid w:val="0"/>
        <w:spacing w:line="360" w:lineRule="exact"/>
        <w:ind w:firstLine="470" w:firstLineChars="196"/>
        <w:rPr>
          <w:rFonts w:ascii="宋体" w:hAnsi="宋体"/>
          <w:color w:val="000000"/>
          <w:sz w:val="20"/>
          <w:szCs w:val="20"/>
        </w:rPr>
      </w:pPr>
      <w:r>
        <w:rPr>
          <w:rFonts w:ascii="宋体" w:hAnsi="宋体"/>
          <w:color w:val="000000"/>
          <w:sz w:val="20"/>
          <w:szCs w:val="20"/>
        </w:rPr>
        <w:t>自合同签订后______个工作日内，乙方应按照采购文件约定向甲方支付本项目履约保证金</w:t>
      </w:r>
      <w:r>
        <w:rPr>
          <w:rFonts w:ascii="宋体" w:hAnsi="宋体" w:hint="eastAsia"/>
          <w:color w:val="000000"/>
          <w:sz w:val="20"/>
          <w:szCs w:val="20"/>
        </w:rPr>
        <w:t>_</w:t>
      </w:r>
      <w:r>
        <w:rPr>
          <w:rFonts w:ascii="宋体" w:hAnsi="宋体"/>
          <w:color w:val="000000"/>
          <w:sz w:val="20"/>
          <w:szCs w:val="20"/>
        </w:rPr>
        <w:t>_______元（大写：          ，以履约保函的形式支付 ）。如乙方未能履行合同约定的义务，甲方有权就其所遭受的损失与履约保证金作相应抵扣；若乙方履行义务符合合同约定，甲方将履约保证金无息退还乙方。</w:t>
      </w:r>
    </w:p>
    <w:p>
      <w:pPr>
        <w:snapToGrid w:val="0"/>
        <w:spacing w:line="360" w:lineRule="exact"/>
        <w:ind w:firstLine="470" w:firstLineChars="196"/>
        <w:rPr>
          <w:rFonts w:ascii="宋体" w:hAnsi="宋体"/>
          <w:b/>
          <w:bCs/>
          <w:color w:val="000000"/>
          <w:sz w:val="20"/>
          <w:szCs w:val="20"/>
        </w:rPr>
      </w:pPr>
      <w:r>
        <w:rPr>
          <w:rFonts w:ascii="宋体" w:hAnsi="宋体"/>
          <w:b/>
          <w:bCs/>
          <w:color w:val="000000"/>
          <w:sz w:val="20"/>
          <w:szCs w:val="20"/>
        </w:rPr>
        <w:t>第十条   付款方式和时间安排</w:t>
      </w:r>
    </w:p>
    <w:p>
      <w:pPr>
        <w:snapToGrid w:val="0"/>
        <w:spacing w:line="360" w:lineRule="exact"/>
        <w:ind w:firstLine="480" w:firstLineChars="200"/>
        <w:rPr>
          <w:rFonts w:ascii="宋体" w:hAnsi="宋体"/>
          <w:color w:val="000000"/>
          <w:sz w:val="20"/>
          <w:szCs w:val="20"/>
        </w:rPr>
      </w:pPr>
      <w:r>
        <w:rPr>
          <w:rFonts w:ascii="宋体" w:hAnsi="宋体"/>
          <w:color w:val="000000"/>
          <w:sz w:val="20"/>
          <w:szCs w:val="20"/>
        </w:rPr>
        <w:t>验收合格后，乙方提供全额含税发票</w:t>
      </w:r>
      <w:r>
        <w:rPr>
          <w:rFonts w:ascii="宋体" w:hAnsi="宋体" w:hint="eastAsia"/>
          <w:color w:val="000000"/>
          <w:sz w:val="20"/>
          <w:szCs w:val="20"/>
        </w:rPr>
        <w:t>（</w:t>
      </w:r>
      <w:r>
        <w:rPr>
          <w:rFonts w:ascii="宋体" w:hAnsi="宋体"/>
          <w:color w:val="000000"/>
          <w:sz w:val="20"/>
          <w:szCs w:val="20"/>
        </w:rPr>
        <w:t>进口采购项目乙方须提供全套清关单据，包括但不限于发票、</w:t>
      </w:r>
      <w:r>
        <w:rPr>
          <w:rFonts w:ascii="宋体" w:hAnsi="宋体" w:hint="eastAsia"/>
          <w:color w:val="000000"/>
          <w:sz w:val="20"/>
          <w:szCs w:val="20"/>
        </w:rPr>
        <w:t>装箱单</w:t>
      </w:r>
      <w:r>
        <w:rPr>
          <w:rFonts w:ascii="宋体" w:hAnsi="宋体"/>
          <w:color w:val="000000"/>
          <w:sz w:val="20"/>
          <w:szCs w:val="20"/>
        </w:rPr>
        <w:t>、报关单、海关专用缴款书、汇率水单</w:t>
      </w:r>
      <w:r>
        <w:rPr>
          <w:rFonts w:ascii="宋体" w:hAnsi="宋体" w:hint="eastAsia"/>
          <w:color w:val="000000"/>
          <w:sz w:val="20"/>
          <w:szCs w:val="20"/>
        </w:rPr>
        <w:t>及</w:t>
      </w:r>
      <w:r>
        <w:rPr>
          <w:rFonts w:ascii="宋体" w:hAnsi="宋体"/>
          <w:color w:val="000000"/>
          <w:sz w:val="20"/>
          <w:szCs w:val="20"/>
        </w:rPr>
        <w:t>免税证明等复印件，原件备查</w:t>
      </w:r>
      <w:r>
        <w:rPr>
          <w:rFonts w:ascii="宋体" w:hAnsi="宋体" w:hint="eastAsia"/>
          <w:color w:val="000000"/>
          <w:sz w:val="20"/>
          <w:szCs w:val="20"/>
        </w:rPr>
        <w:t>）</w:t>
      </w:r>
      <w:r>
        <w:rPr>
          <w:rFonts w:ascii="宋体" w:hAnsi="宋体"/>
          <w:color w:val="000000"/>
          <w:sz w:val="20"/>
          <w:szCs w:val="20"/>
        </w:rPr>
        <w:t>给甲方，甲方负责办理相关付款资料，</w:t>
      </w:r>
      <w:r>
        <w:rPr>
          <w:rFonts w:ascii="宋体" w:hAnsi="宋体" w:hint="eastAsia"/>
          <w:color w:val="000000"/>
          <w:sz w:val="20"/>
          <w:szCs w:val="20"/>
        </w:rPr>
        <w:t>审批</w:t>
      </w:r>
      <w:r>
        <w:rPr>
          <w:rFonts w:ascii="宋体" w:hAnsi="宋体"/>
          <w:color w:val="000000"/>
          <w:sz w:val="20"/>
          <w:szCs w:val="20"/>
        </w:rPr>
        <w:t>流程完成后支付全部货款。</w:t>
      </w:r>
    </w:p>
    <w:p>
      <w:pPr>
        <w:snapToGrid w:val="0"/>
        <w:spacing w:line="360" w:lineRule="exact"/>
        <w:ind w:firstLine="480" w:firstLineChars="200"/>
        <w:rPr>
          <w:rFonts w:ascii="宋体" w:hAnsi="宋体"/>
          <w:color w:val="000000"/>
          <w:sz w:val="20"/>
          <w:szCs w:val="20"/>
        </w:rPr>
      </w:pPr>
      <w:r>
        <w:rPr>
          <w:rFonts w:ascii="宋体" w:hAnsi="宋体"/>
          <w:color w:val="000000"/>
          <w:sz w:val="20"/>
          <w:szCs w:val="20"/>
        </w:rPr>
        <w:t>因政府部门核批等非甲方原因导致付款延迟的，乙方不得因此要求甲方承担相关责任。甲方付款前，乙方应提供等额合法有效的发票及必备单据。如乙方未提供、延迟提供发票及必备单据或者提供的发票及必备单据不合格，甲方有权中止付款，且不负延迟付款的违约责任。</w:t>
      </w:r>
    </w:p>
    <w:p>
      <w:pPr>
        <w:snapToGrid w:val="0"/>
        <w:spacing w:line="360" w:lineRule="exact"/>
        <w:ind w:firstLine="480" w:firstLineChars="200"/>
        <w:rPr>
          <w:rFonts w:ascii="宋体" w:hAnsi="宋体"/>
          <w:color w:val="000000"/>
          <w:sz w:val="20"/>
          <w:szCs w:val="20"/>
        </w:rPr>
      </w:pPr>
    </w:p>
    <w:p>
      <w:pPr>
        <w:snapToGrid w:val="0"/>
        <w:spacing w:line="360" w:lineRule="exact"/>
        <w:ind w:firstLine="470" w:firstLineChars="196"/>
        <w:rPr>
          <w:rFonts w:ascii="宋体" w:hAnsi="宋体"/>
          <w:b/>
          <w:bCs/>
          <w:color w:val="000000"/>
          <w:sz w:val="20"/>
          <w:szCs w:val="20"/>
        </w:rPr>
      </w:pPr>
      <w:r>
        <w:rPr>
          <w:rFonts w:ascii="宋体" w:hAnsi="宋体"/>
          <w:b/>
          <w:bCs/>
          <w:color w:val="000000"/>
          <w:sz w:val="20"/>
          <w:szCs w:val="20"/>
        </w:rPr>
        <w:t>第十一条   违约责任</w:t>
      </w:r>
    </w:p>
    <w:p>
      <w:pPr>
        <w:snapToGrid w:val="0"/>
        <w:spacing w:line="360" w:lineRule="exact"/>
        <w:ind w:firstLine="480" w:firstLineChars="200"/>
        <w:rPr>
          <w:rFonts w:ascii="宋体" w:hAnsi="宋体"/>
          <w:color w:val="000000"/>
          <w:sz w:val="20"/>
          <w:szCs w:val="20"/>
        </w:rPr>
      </w:pPr>
      <w:r>
        <w:rPr>
          <w:rFonts w:ascii="宋体" w:hAnsi="宋体"/>
          <w:color w:val="000000"/>
          <w:sz w:val="20"/>
          <w:szCs w:val="20"/>
        </w:rPr>
        <w:t>合同生效后，乙方逾期交付产品，应向甲方每日支付合同总价千分之三的违约金。验收合格后，甲方逾期付款，应向乙方每日支付合同总价千分之三的违约金。</w:t>
      </w:r>
    </w:p>
    <w:p>
      <w:pPr>
        <w:snapToGrid w:val="0"/>
        <w:spacing w:line="360" w:lineRule="exact"/>
        <w:ind w:firstLine="480" w:firstLineChars="200"/>
        <w:rPr>
          <w:rFonts w:ascii="宋体" w:hAnsi="宋体"/>
          <w:color w:val="000000"/>
          <w:sz w:val="20"/>
          <w:szCs w:val="20"/>
        </w:rPr>
      </w:pPr>
      <w:r>
        <w:rPr>
          <w:rFonts w:ascii="宋体" w:hAnsi="宋体"/>
          <w:color w:val="000000"/>
          <w:sz w:val="20"/>
          <w:szCs w:val="20"/>
        </w:rPr>
        <w:t>乙方所交付的产品品牌、型号、规格、质量不符合合同约定的，甲方有权拒绝收货。乙方不能交货或不能依约提供技术服务或单方终止合同，甲方可主张乙方向甲方支付不超过合同总价百分之三十的违约金并承担相应的违约责任。</w:t>
      </w:r>
    </w:p>
    <w:p>
      <w:pPr>
        <w:snapToGrid w:val="0"/>
        <w:spacing w:line="360" w:lineRule="exact"/>
        <w:ind w:firstLine="480" w:firstLineChars="200"/>
        <w:rPr>
          <w:rFonts w:ascii="宋体" w:hAnsi="宋体"/>
          <w:color w:val="000000"/>
          <w:sz w:val="20"/>
          <w:szCs w:val="20"/>
        </w:rPr>
      </w:pPr>
      <w:r>
        <w:rPr>
          <w:rFonts w:ascii="宋体" w:hAnsi="宋体"/>
          <w:color w:val="000000"/>
          <w:sz w:val="20"/>
          <w:szCs w:val="20"/>
        </w:rPr>
        <w:t>乙方交付的产品存在甲方验收人员在验收时无法肉眼现场发现的质量问题，包括但不限于产品技术质量问题、使用后才能发现的问题、专业仪器检测才能发现的问题、假冒产品经原厂或专业部门检测后发现的问题等，甲方有权在质保期内向乙方主张退货或换货，并可主张乙方向甲方支付不超过合同总价百分之三十的违约金并承担相应的违约责任。</w:t>
      </w:r>
    </w:p>
    <w:p>
      <w:pPr>
        <w:snapToGrid w:val="0"/>
        <w:spacing w:line="360" w:lineRule="exact"/>
        <w:ind w:firstLine="480" w:firstLineChars="200"/>
        <w:rPr>
          <w:rFonts w:ascii="宋体" w:hAnsi="宋体"/>
          <w:b/>
          <w:bCs/>
          <w:color w:val="000000"/>
          <w:sz w:val="20"/>
          <w:szCs w:val="20"/>
        </w:rPr>
      </w:pPr>
      <w:r>
        <w:rPr>
          <w:rFonts w:ascii="宋体" w:hAnsi="宋体"/>
          <w:b/>
          <w:bCs/>
          <w:color w:val="000000"/>
          <w:sz w:val="20"/>
          <w:szCs w:val="20"/>
        </w:rPr>
        <w:t>第十二条   不可抗力</w:t>
      </w:r>
    </w:p>
    <w:p>
      <w:pPr>
        <w:snapToGrid w:val="0"/>
        <w:spacing w:line="360" w:lineRule="exact"/>
        <w:ind w:firstLine="480" w:firstLineChars="200"/>
        <w:rPr>
          <w:rFonts w:ascii="宋体" w:hAnsi="宋体"/>
          <w:color w:val="000000"/>
          <w:sz w:val="20"/>
          <w:szCs w:val="20"/>
        </w:rPr>
      </w:pPr>
      <w:r>
        <w:rPr>
          <w:rFonts w:ascii="宋体" w:hAnsi="宋体"/>
          <w:color w:val="000000"/>
          <w:sz w:val="20"/>
          <w:szCs w:val="20"/>
        </w:rPr>
        <w:t>签约双方任一方由于受到不可抗力的影响而不能执行合同时，应在不可抗力事件发生后尽快用电报、传真或电传通知另一方，并于事件发生后</w:t>
      </w:r>
      <w:r>
        <w:rPr>
          <w:rFonts w:eastAsia="Times New Roman"/>
          <w:b/>
          <w:bCs/>
          <w:color w:val="000000"/>
          <w:sz w:val="20"/>
          <w:szCs w:val="20"/>
        </w:rPr>
        <w:t>15</w:t>
      </w:r>
      <w:r>
        <w:rPr>
          <w:rFonts w:ascii="宋体" w:hAnsi="宋体"/>
          <w:b/>
          <w:bCs/>
          <w:color w:val="000000"/>
          <w:sz w:val="20"/>
          <w:szCs w:val="20"/>
        </w:rPr>
        <w:t>个日历日</w:t>
      </w:r>
      <w:r>
        <w:rPr>
          <w:rFonts w:ascii="宋体" w:hAnsi="宋体"/>
          <w:color w:val="000000"/>
          <w:sz w:val="20"/>
          <w:szCs w:val="20"/>
        </w:rPr>
        <w:t>内将有关当局出具的证明文件用特快专递寄给另一方审阅确认。履行合同的期限相应予以延长，其延长的期限相当于事件所影响的时间。</w:t>
      </w:r>
    </w:p>
    <w:p>
      <w:pPr>
        <w:snapToGrid w:val="0"/>
        <w:spacing w:line="360" w:lineRule="exact"/>
        <w:ind w:firstLine="480" w:firstLineChars="200"/>
        <w:rPr>
          <w:rFonts w:ascii="宋体" w:hAnsi="宋体"/>
          <w:color w:val="000000"/>
          <w:sz w:val="20"/>
          <w:szCs w:val="20"/>
        </w:rPr>
      </w:pPr>
      <w:r>
        <w:rPr>
          <w:rFonts w:ascii="宋体" w:hAnsi="宋体"/>
          <w:color w:val="000000"/>
          <w:sz w:val="20"/>
          <w:szCs w:val="20"/>
        </w:rPr>
        <w:t>不可抗力事件系指买卖双方在缔结合同时所不能预见的，并且它的发生及其后果是无法避免和无法克服的事件，诸如战争、严重火灾、洪水、台风、瘟疫、地震等。</w:t>
      </w:r>
    </w:p>
    <w:p>
      <w:pPr>
        <w:snapToGrid w:val="0"/>
        <w:spacing w:line="360" w:lineRule="exact"/>
        <w:ind w:firstLine="480" w:firstLineChars="200"/>
        <w:rPr>
          <w:rFonts w:ascii="宋体" w:hAnsi="宋体"/>
          <w:b/>
          <w:bCs/>
          <w:color w:val="000000"/>
          <w:sz w:val="20"/>
          <w:szCs w:val="20"/>
        </w:rPr>
      </w:pPr>
      <w:r>
        <w:rPr>
          <w:rFonts w:ascii="宋体" w:hAnsi="宋体"/>
          <w:b/>
          <w:bCs/>
          <w:color w:val="000000"/>
          <w:sz w:val="20"/>
          <w:szCs w:val="20"/>
        </w:rPr>
        <w:t>第十三条   合同解除</w:t>
      </w:r>
    </w:p>
    <w:p>
      <w:pPr>
        <w:snapToGrid w:val="0"/>
        <w:spacing w:line="360" w:lineRule="exact"/>
        <w:ind w:firstLine="480" w:firstLineChars="200"/>
        <w:rPr>
          <w:rFonts w:ascii="宋体" w:hAnsi="宋体"/>
          <w:color w:val="000000"/>
          <w:sz w:val="20"/>
          <w:szCs w:val="20"/>
        </w:rPr>
      </w:pPr>
      <w:r>
        <w:rPr>
          <w:rFonts w:ascii="宋体" w:hAnsi="宋体"/>
          <w:color w:val="000000"/>
          <w:kern w:val="0"/>
          <w:sz w:val="20"/>
          <w:szCs w:val="20"/>
        </w:rPr>
        <w:t>　</w:t>
      </w:r>
      <w:r>
        <w:rPr>
          <w:rFonts w:ascii="宋体" w:hAnsi="宋体"/>
          <w:color w:val="000000"/>
          <w:sz w:val="20"/>
          <w:szCs w:val="20"/>
        </w:rPr>
        <w:t xml:space="preserve">有下列情形之一的，当事人可以解除合同： </w:t>
      </w:r>
    </w:p>
    <w:p>
      <w:pPr>
        <w:snapToGrid w:val="0"/>
        <w:spacing w:line="360" w:lineRule="exact"/>
        <w:ind w:firstLine="480" w:firstLineChars="200"/>
        <w:rPr>
          <w:rFonts w:ascii="宋体" w:hAnsi="宋体"/>
          <w:color w:val="000000"/>
          <w:sz w:val="20"/>
          <w:szCs w:val="20"/>
        </w:rPr>
      </w:pPr>
      <w:r>
        <w:rPr>
          <w:rFonts w:ascii="宋体" w:hAnsi="宋体"/>
          <w:color w:val="000000"/>
          <w:sz w:val="20"/>
          <w:szCs w:val="20"/>
        </w:rPr>
        <w:t>（一）因不可抗力致使不能实现合同目的；</w:t>
      </w:r>
    </w:p>
    <w:p>
      <w:pPr>
        <w:snapToGrid w:val="0"/>
        <w:spacing w:line="360" w:lineRule="exact"/>
        <w:ind w:firstLine="480" w:firstLineChars="200"/>
        <w:rPr>
          <w:rFonts w:ascii="宋体" w:hAnsi="宋体"/>
          <w:color w:val="000000"/>
          <w:sz w:val="20"/>
          <w:szCs w:val="20"/>
        </w:rPr>
      </w:pPr>
      <w:r>
        <w:rPr>
          <w:rFonts w:ascii="宋体" w:hAnsi="宋体"/>
          <w:color w:val="000000"/>
          <w:sz w:val="20"/>
          <w:szCs w:val="20"/>
        </w:rPr>
        <w:t>（</w:t>
      </w:r>
      <w:r>
        <w:rPr>
          <w:rFonts w:ascii="宋体" w:hAnsi="宋体" w:hint="eastAsia"/>
          <w:color w:val="000000"/>
          <w:sz w:val="20"/>
          <w:szCs w:val="20"/>
        </w:rPr>
        <w:t>二</w:t>
      </w:r>
      <w:r>
        <w:rPr>
          <w:rFonts w:ascii="宋体" w:hAnsi="宋体"/>
          <w:color w:val="000000"/>
          <w:sz w:val="20"/>
          <w:szCs w:val="20"/>
        </w:rPr>
        <w:t>）由于乙方的原因未能在本合同约定的交货期或工期交货或移交的，逾期超过 15 个日历日仍不能交货或移交的</w:t>
      </w:r>
      <w:r>
        <w:rPr>
          <w:rFonts w:ascii="宋体" w:hAnsi="宋体" w:hint="eastAsia"/>
          <w:color w:val="000000"/>
          <w:sz w:val="20"/>
          <w:szCs w:val="20"/>
        </w:rPr>
        <w:t>，</w:t>
      </w:r>
      <w:r>
        <w:rPr>
          <w:rFonts w:ascii="宋体" w:hAnsi="宋体"/>
          <w:color w:val="000000"/>
          <w:sz w:val="20"/>
          <w:szCs w:val="20"/>
        </w:rPr>
        <w:t>或乙方所交付的产品品牌、型号、规格、质量不符合同规定标准的，并经过15个日历日整改仍不达标的，甲方有权单方解除合同并要求乙方承担相应的违约责任，同时赔偿由此给甲方造成的其他经济损失。</w:t>
      </w:r>
    </w:p>
    <w:p>
      <w:pPr>
        <w:snapToGrid w:val="0"/>
        <w:spacing w:line="360" w:lineRule="exact"/>
        <w:ind w:firstLine="480" w:firstLineChars="200"/>
        <w:rPr>
          <w:rFonts w:ascii="宋体" w:hAnsi="宋体"/>
          <w:color w:val="000000"/>
          <w:sz w:val="20"/>
          <w:szCs w:val="20"/>
        </w:rPr>
      </w:pPr>
      <w:r>
        <w:rPr>
          <w:rFonts w:ascii="宋体" w:hAnsi="宋体"/>
          <w:color w:val="000000"/>
          <w:sz w:val="20"/>
          <w:szCs w:val="20"/>
        </w:rPr>
        <w:t>（</w:t>
      </w:r>
      <w:r>
        <w:rPr>
          <w:rFonts w:ascii="宋体" w:hAnsi="宋体" w:hint="eastAsia"/>
          <w:color w:val="000000"/>
          <w:sz w:val="20"/>
          <w:szCs w:val="20"/>
        </w:rPr>
        <w:t>三</w:t>
      </w:r>
      <w:r>
        <w:rPr>
          <w:rFonts w:ascii="宋体" w:hAnsi="宋体"/>
          <w:color w:val="000000"/>
          <w:sz w:val="20"/>
          <w:szCs w:val="20"/>
        </w:rPr>
        <w:t>）法律规定的其他情形。</w:t>
      </w:r>
    </w:p>
    <w:p>
      <w:pPr>
        <w:snapToGrid w:val="0"/>
        <w:spacing w:line="360" w:lineRule="exact"/>
        <w:ind w:firstLine="480" w:firstLineChars="200"/>
        <w:rPr>
          <w:rFonts w:ascii="宋体" w:hAnsi="宋体"/>
          <w:b/>
          <w:bCs/>
          <w:color w:val="000000"/>
          <w:sz w:val="20"/>
          <w:szCs w:val="20"/>
        </w:rPr>
      </w:pPr>
      <w:r>
        <w:rPr>
          <w:rFonts w:ascii="宋体" w:hAnsi="宋体"/>
          <w:b/>
          <w:bCs/>
          <w:color w:val="000000"/>
          <w:sz w:val="20"/>
          <w:szCs w:val="20"/>
        </w:rPr>
        <w:t>第十四条   争议的解决</w:t>
      </w:r>
    </w:p>
    <w:p>
      <w:pPr>
        <w:snapToGrid w:val="0"/>
        <w:spacing w:line="360" w:lineRule="exact"/>
        <w:ind w:firstLine="480" w:firstLineChars="200"/>
        <w:rPr>
          <w:rFonts w:ascii="宋体" w:hAnsi="宋体"/>
          <w:color w:val="000000"/>
          <w:sz w:val="20"/>
          <w:szCs w:val="20"/>
        </w:rPr>
      </w:pPr>
      <w:r>
        <w:rPr>
          <w:rFonts w:ascii="宋体" w:hAnsi="宋体" w:hint="eastAsia"/>
          <w:color w:val="000000"/>
          <w:sz w:val="20"/>
          <w:szCs w:val="20"/>
        </w:rPr>
        <w:t>凡因本协议引起的或与本协议有关的任何争议，由双方友好协商解决。协商不成时，双方均有权向深圳市南山区人民法院提起诉讼。</w:t>
      </w:r>
    </w:p>
    <w:p>
      <w:pPr>
        <w:snapToGrid w:val="0"/>
        <w:spacing w:line="360" w:lineRule="exact"/>
        <w:ind w:firstLine="480" w:firstLineChars="200"/>
        <w:rPr>
          <w:rFonts w:ascii="宋体" w:hAnsi="宋体"/>
          <w:b/>
          <w:bCs/>
          <w:color w:val="000000"/>
          <w:sz w:val="20"/>
          <w:szCs w:val="20"/>
        </w:rPr>
      </w:pPr>
      <w:r>
        <w:rPr>
          <w:rFonts w:ascii="宋体" w:hAnsi="宋体"/>
          <w:b/>
          <w:color w:val="000000"/>
          <w:sz w:val="20"/>
          <w:szCs w:val="20"/>
        </w:rPr>
        <w:t>第十五条</w:t>
      </w:r>
      <w:r>
        <w:rPr>
          <w:rFonts w:ascii="宋体" w:hAnsi="宋体" w:hint="eastAsia"/>
          <w:color w:val="000000"/>
          <w:sz w:val="20"/>
          <w:szCs w:val="20"/>
        </w:rPr>
        <w:t xml:space="preserve"> </w:t>
      </w:r>
      <w:r>
        <w:rPr>
          <w:rFonts w:ascii="宋体" w:hAnsi="宋体"/>
          <w:color w:val="000000"/>
          <w:sz w:val="20"/>
          <w:szCs w:val="20"/>
        </w:rPr>
        <w:t xml:space="preserve"> 合同系甲乙双方协商的结果，本合同未尽事宜，双方可另行补充。本</w:t>
      </w:r>
      <w:r>
        <w:rPr>
          <w:rFonts w:ascii="宋体" w:hAnsi="宋体"/>
          <w:b/>
          <w:bCs/>
          <w:color w:val="000000"/>
          <w:sz w:val="20"/>
          <w:szCs w:val="20"/>
        </w:rPr>
        <w:t>合同一式伍份，双方签字并盖章之日起生效，具有同等法律效力。</w:t>
      </w:r>
    </w:p>
    <w:p>
      <w:pPr>
        <w:snapToGrid w:val="0"/>
        <w:spacing w:line="460" w:lineRule="exact"/>
        <w:rPr>
          <w:rFonts w:ascii="宋体" w:hAnsi="宋体"/>
          <w:b/>
          <w:bCs/>
          <w:color w:val="000000"/>
          <w:sz w:val="20"/>
          <w:szCs w:val="20"/>
        </w:rPr>
      </w:pPr>
      <w:r>
        <w:rPr>
          <w:rFonts w:ascii="宋体" w:hAnsi="宋体"/>
          <w:b/>
          <w:bCs/>
          <w:color w:val="000000"/>
          <w:sz w:val="20"/>
          <w:szCs w:val="20"/>
        </w:rPr>
        <w:tab/>
      </w:r>
    </w:p>
    <w:p>
      <w:pPr>
        <w:snapToGrid w:val="0"/>
        <w:spacing w:line="460" w:lineRule="exact"/>
        <w:rPr>
          <w:rFonts w:eastAsia="Times New Roman"/>
          <w:color w:val="000000"/>
          <w:sz w:val="20"/>
          <w:szCs w:val="20"/>
        </w:rPr>
      </w:pPr>
      <w:r>
        <w:rPr>
          <w:rFonts w:ascii="宋体" w:hAnsi="宋体"/>
          <w:color w:val="000000"/>
          <w:sz w:val="20"/>
          <w:szCs w:val="20"/>
        </w:rPr>
        <w:t>甲方：深圳职业技术学院</w:t>
      </w:r>
      <w:r>
        <w:rPr>
          <w:rFonts w:eastAsia="Times New Roman"/>
          <w:color w:val="000000"/>
          <w:sz w:val="20"/>
          <w:szCs w:val="20"/>
        </w:rPr>
        <w:t>(</w:t>
      </w:r>
      <w:r>
        <w:rPr>
          <w:rFonts w:ascii="宋体" w:hAnsi="宋体"/>
          <w:color w:val="000000"/>
          <w:sz w:val="20"/>
          <w:szCs w:val="20"/>
        </w:rPr>
        <w:t>盖章</w:t>
      </w:r>
      <w:r>
        <w:rPr>
          <w:rFonts w:eastAsia="Times New Roman"/>
          <w:color w:val="000000"/>
          <w:sz w:val="20"/>
          <w:szCs w:val="20"/>
        </w:rPr>
        <w:t>)</w:t>
      </w:r>
      <w:r>
        <w:rPr>
          <w:rFonts w:eastAsia="Times New Roman"/>
          <w:color w:val="000000"/>
          <w:sz w:val="20"/>
          <w:szCs w:val="20"/>
        </w:rPr>
        <w:tab/>
      </w:r>
    </w:p>
    <w:p>
      <w:pPr>
        <w:snapToGrid w:val="0"/>
        <w:spacing w:line="460" w:lineRule="exact"/>
        <w:ind w:firstLine="480" w:firstLineChars="200"/>
        <w:rPr>
          <w:rFonts w:eastAsia="Times New Roman"/>
          <w:color w:val="000000"/>
          <w:sz w:val="20"/>
          <w:szCs w:val="20"/>
        </w:rPr>
      </w:pPr>
      <w:r>
        <w:rPr>
          <w:rFonts w:ascii="宋体" w:hAnsi="宋体"/>
          <w:color w:val="000000"/>
          <w:sz w:val="20"/>
          <w:szCs w:val="20"/>
        </w:rPr>
        <w:t>地址：广东省深圳市西丽湖深圳职业技术学院</w:t>
      </w:r>
      <w:r>
        <w:rPr>
          <w:rFonts w:eastAsia="Times New Roman"/>
          <w:color w:val="000000"/>
          <w:sz w:val="20"/>
          <w:szCs w:val="20"/>
        </w:rPr>
        <w:tab/>
      </w:r>
    </w:p>
    <w:p>
      <w:pPr>
        <w:snapToGrid w:val="0"/>
        <w:spacing w:line="460" w:lineRule="exact"/>
        <w:ind w:firstLine="480" w:firstLineChars="200"/>
        <w:rPr>
          <w:rFonts w:eastAsia="Times New Roman"/>
          <w:color w:val="000000"/>
          <w:sz w:val="20"/>
          <w:szCs w:val="20"/>
        </w:rPr>
      </w:pPr>
      <w:r>
        <w:rPr>
          <w:rFonts w:ascii="宋体" w:hAnsi="宋体"/>
          <w:color w:val="000000"/>
          <w:sz w:val="20"/>
          <w:szCs w:val="20"/>
        </w:rPr>
        <w:t>邮编：</w:t>
      </w:r>
      <w:r>
        <w:rPr>
          <w:rFonts w:eastAsia="Times New Roman"/>
          <w:color w:val="000000"/>
          <w:sz w:val="20"/>
          <w:szCs w:val="20"/>
        </w:rPr>
        <w:t>518055</w:t>
      </w:r>
    </w:p>
    <w:p>
      <w:pPr>
        <w:snapToGrid w:val="0"/>
        <w:spacing w:line="460" w:lineRule="exact"/>
        <w:ind w:firstLine="480" w:firstLineChars="200"/>
        <w:rPr>
          <w:rFonts w:ascii="宋体" w:hAnsi="宋体"/>
          <w:color w:val="000000"/>
          <w:sz w:val="20"/>
          <w:szCs w:val="20"/>
        </w:rPr>
      </w:pPr>
      <w:r>
        <w:rPr>
          <w:rFonts w:ascii="宋体" w:hAnsi="宋体"/>
          <w:color w:val="000000"/>
          <w:sz w:val="20"/>
          <w:szCs w:val="20"/>
        </w:rPr>
        <w:t>办公室电话:</w:t>
      </w:r>
    </w:p>
    <w:p>
      <w:pPr>
        <w:snapToGrid w:val="0"/>
        <w:spacing w:line="460" w:lineRule="exact"/>
        <w:ind w:firstLine="480" w:firstLineChars="200"/>
        <w:rPr>
          <w:rFonts w:ascii="宋体" w:hAnsi="宋体"/>
          <w:color w:val="000000"/>
          <w:sz w:val="20"/>
          <w:szCs w:val="20"/>
        </w:rPr>
      </w:pPr>
      <w:r>
        <w:rPr>
          <w:rFonts w:ascii="宋体" w:hAnsi="宋体"/>
          <w:color w:val="000000"/>
          <w:sz w:val="20"/>
          <w:szCs w:val="20"/>
        </w:rPr>
        <w:t>办公室传真：</w:t>
      </w:r>
    </w:p>
    <w:p>
      <w:pPr>
        <w:snapToGrid w:val="0"/>
        <w:spacing w:line="460" w:lineRule="exact"/>
        <w:ind w:firstLine="480" w:firstLineChars="200"/>
        <w:rPr>
          <w:rFonts w:ascii="宋体" w:hAnsi="宋体"/>
          <w:color w:val="000000"/>
          <w:sz w:val="20"/>
          <w:szCs w:val="20"/>
        </w:rPr>
      </w:pPr>
      <w:r>
        <w:rPr>
          <w:rFonts w:ascii="宋体" w:hAnsi="宋体"/>
          <w:color w:val="000000"/>
          <w:sz w:val="20"/>
          <w:szCs w:val="20"/>
        </w:rPr>
        <w:t>开户银行：平安银行深圳西丽支行</w:t>
      </w:r>
    </w:p>
    <w:p>
      <w:pPr>
        <w:snapToGrid w:val="0"/>
        <w:spacing w:line="460" w:lineRule="exact"/>
        <w:ind w:firstLine="480" w:firstLineChars="200"/>
        <w:rPr>
          <w:rFonts w:ascii="宋体" w:hAnsi="宋体"/>
          <w:color w:val="000000"/>
          <w:sz w:val="20"/>
          <w:szCs w:val="20"/>
        </w:rPr>
      </w:pPr>
      <w:r>
        <w:rPr>
          <w:rFonts w:ascii="宋体" w:hAnsi="宋体"/>
          <w:color w:val="000000"/>
          <w:sz w:val="20"/>
          <w:szCs w:val="20"/>
        </w:rPr>
        <w:t>银行账号：0332100256013</w:t>
      </w:r>
    </w:p>
    <w:p>
      <w:pPr>
        <w:snapToGrid w:val="0"/>
        <w:spacing w:line="460" w:lineRule="exact"/>
        <w:ind w:firstLine="480" w:firstLineChars="200"/>
        <w:rPr>
          <w:rFonts w:eastAsia="Times New Roman"/>
          <w:color w:val="000000"/>
          <w:sz w:val="20"/>
          <w:szCs w:val="20"/>
        </w:rPr>
      </w:pPr>
      <w:r>
        <w:rPr>
          <w:rFonts w:ascii="宋体" w:hAnsi="宋体"/>
          <w:color w:val="000000"/>
          <w:sz w:val="20"/>
          <w:szCs w:val="20"/>
        </w:rPr>
        <w:t>甲方代表签字：</w:t>
      </w:r>
      <w:r>
        <w:rPr>
          <w:rFonts w:ascii="宋体" w:hAnsi="宋体"/>
          <w:color w:val="000000"/>
          <w:sz w:val="20"/>
          <w:szCs w:val="20"/>
          <w:u w:val="single"/>
        </w:rPr>
        <w:t xml:space="preserve">                   </w:t>
      </w:r>
      <w:r>
        <w:rPr>
          <w:rFonts w:eastAsia="Times New Roman"/>
          <w:color w:val="000000"/>
          <w:sz w:val="20"/>
          <w:szCs w:val="20"/>
        </w:rPr>
        <w:tab/>
      </w:r>
      <w:r>
        <w:rPr>
          <w:rFonts w:ascii="宋体" w:hAnsi="宋体"/>
          <w:color w:val="000000"/>
          <w:sz w:val="20"/>
          <w:szCs w:val="20"/>
        </w:rPr>
        <w:t>手机号码：</w:t>
      </w:r>
      <w:r>
        <w:rPr>
          <w:rFonts w:eastAsia="Times New Roman"/>
          <w:color w:val="000000"/>
          <w:sz w:val="20"/>
          <w:szCs w:val="20"/>
        </w:rPr>
        <w:t xml:space="preserve"> </w:t>
      </w:r>
      <w:r>
        <w:rPr>
          <w:rFonts w:eastAsia="Times New Roman"/>
          <w:color w:val="000000"/>
          <w:sz w:val="20"/>
          <w:szCs w:val="20"/>
          <w:u w:val="single"/>
        </w:rPr>
        <w:t xml:space="preserve">                      </w:t>
      </w:r>
    </w:p>
    <w:p>
      <w:pPr>
        <w:snapToGrid w:val="0"/>
        <w:spacing w:line="460" w:lineRule="exact"/>
        <w:rPr>
          <w:rFonts w:ascii="宋体" w:hAnsi="宋体"/>
          <w:color w:val="000000"/>
          <w:sz w:val="20"/>
          <w:szCs w:val="20"/>
        </w:rPr>
      </w:pPr>
      <w:r>
        <w:rPr>
          <w:rFonts w:eastAsia="Times New Roman"/>
          <w:color w:val="000000"/>
          <w:sz w:val="20"/>
          <w:szCs w:val="20"/>
        </w:rPr>
        <w:t xml:space="preserve">                                   </w:t>
      </w:r>
      <w:r>
        <w:rPr>
          <w:rFonts w:ascii="宋体" w:hAnsi="宋体"/>
          <w:color w:val="000000"/>
          <w:sz w:val="20"/>
          <w:szCs w:val="20"/>
        </w:rPr>
        <w:t>签约时间：</w:t>
      </w:r>
      <w:r>
        <w:rPr>
          <w:rFonts w:eastAsia="Times New Roman"/>
          <w:color w:val="000000"/>
          <w:sz w:val="20"/>
          <w:szCs w:val="20"/>
        </w:rPr>
        <w:t xml:space="preserve">         </w:t>
      </w:r>
      <w:r>
        <w:rPr>
          <w:rFonts w:ascii="宋体" w:hAnsi="宋体"/>
          <w:color w:val="000000"/>
          <w:sz w:val="20"/>
          <w:szCs w:val="20"/>
        </w:rPr>
        <w:t>年</w:t>
      </w:r>
      <w:r>
        <w:rPr>
          <w:rFonts w:eastAsia="Times New Roman"/>
          <w:color w:val="000000"/>
          <w:sz w:val="20"/>
          <w:szCs w:val="20"/>
        </w:rPr>
        <w:t xml:space="preserve">     </w:t>
      </w:r>
      <w:r>
        <w:rPr>
          <w:rFonts w:ascii="宋体" w:hAnsi="宋体"/>
          <w:color w:val="000000"/>
          <w:sz w:val="20"/>
          <w:szCs w:val="20"/>
        </w:rPr>
        <w:t>月</w:t>
      </w:r>
      <w:r>
        <w:rPr>
          <w:rFonts w:eastAsia="Times New Roman"/>
          <w:color w:val="000000"/>
          <w:sz w:val="20"/>
          <w:szCs w:val="20"/>
        </w:rPr>
        <w:t xml:space="preserve">     </w:t>
      </w:r>
      <w:r>
        <w:rPr>
          <w:rFonts w:ascii="宋体" w:hAnsi="宋体"/>
          <w:color w:val="000000"/>
          <w:sz w:val="20"/>
          <w:szCs w:val="20"/>
        </w:rPr>
        <w:t>日</w:t>
      </w:r>
    </w:p>
    <w:p>
      <w:pPr>
        <w:snapToGrid w:val="0"/>
        <w:spacing w:line="460" w:lineRule="exact"/>
        <w:ind w:firstLine="480" w:firstLineChars="200"/>
        <w:rPr>
          <w:rFonts w:ascii="宋体" w:hAnsi="宋体"/>
          <w:color w:val="000000"/>
          <w:sz w:val="20"/>
          <w:szCs w:val="20"/>
        </w:rPr>
      </w:pPr>
      <w:r>
        <w:rPr>
          <w:rFonts w:ascii="宋体" w:hAnsi="宋体"/>
          <w:color w:val="000000"/>
          <w:sz w:val="20"/>
          <w:szCs w:val="20"/>
        </w:rPr>
        <w:t>乙方：</w:t>
      </w:r>
      <w:r>
        <w:rPr>
          <w:rFonts w:eastAsia="Times New Roman"/>
          <w:color w:val="000000"/>
          <w:sz w:val="20"/>
          <w:szCs w:val="20"/>
        </w:rPr>
        <w:t xml:space="preserve">                     </w:t>
      </w:r>
      <w:r>
        <w:rPr>
          <w:rFonts w:ascii="宋体" w:hAnsi="宋体"/>
          <w:color w:val="000000"/>
          <w:sz w:val="20"/>
          <w:szCs w:val="20"/>
        </w:rPr>
        <w:t xml:space="preserve">     (盖章)</w:t>
      </w:r>
      <w:r>
        <w:rPr>
          <w:rFonts w:ascii="宋体" w:hAnsi="宋体"/>
          <w:color w:val="000000"/>
          <w:sz w:val="20"/>
          <w:szCs w:val="20"/>
        </w:rPr>
        <w:tab/>
      </w:r>
    </w:p>
    <w:p>
      <w:pPr>
        <w:snapToGrid w:val="0"/>
        <w:spacing w:line="460" w:lineRule="exact"/>
        <w:ind w:firstLine="480" w:firstLineChars="200"/>
        <w:rPr>
          <w:rFonts w:ascii="宋体" w:hAnsi="宋体"/>
          <w:color w:val="000000"/>
          <w:sz w:val="20"/>
          <w:szCs w:val="20"/>
        </w:rPr>
      </w:pPr>
      <w:r>
        <w:rPr>
          <w:rFonts w:ascii="宋体" w:hAnsi="宋体"/>
          <w:color w:val="000000"/>
          <w:sz w:val="20"/>
          <w:szCs w:val="20"/>
        </w:rPr>
        <w:t>地址：</w:t>
      </w:r>
    </w:p>
    <w:p>
      <w:pPr>
        <w:snapToGrid w:val="0"/>
        <w:spacing w:line="460" w:lineRule="exact"/>
        <w:ind w:firstLine="480" w:firstLineChars="200"/>
        <w:rPr>
          <w:rFonts w:ascii="宋体" w:hAnsi="宋体"/>
          <w:color w:val="000000"/>
          <w:sz w:val="20"/>
          <w:szCs w:val="20"/>
        </w:rPr>
      </w:pPr>
      <w:r>
        <w:rPr>
          <w:rFonts w:ascii="宋体" w:hAnsi="宋体"/>
          <w:color w:val="000000"/>
          <w:sz w:val="20"/>
          <w:szCs w:val="20"/>
        </w:rPr>
        <w:t>邮编：</w:t>
      </w:r>
    </w:p>
    <w:p>
      <w:pPr>
        <w:snapToGrid w:val="0"/>
        <w:spacing w:line="460" w:lineRule="exact"/>
        <w:ind w:firstLine="480" w:firstLineChars="200"/>
        <w:rPr>
          <w:rFonts w:ascii="宋体" w:hAnsi="宋体"/>
          <w:color w:val="000000"/>
          <w:sz w:val="20"/>
          <w:szCs w:val="20"/>
        </w:rPr>
      </w:pPr>
      <w:r>
        <w:rPr>
          <w:rFonts w:ascii="宋体" w:hAnsi="宋体"/>
          <w:color w:val="000000"/>
          <w:sz w:val="20"/>
          <w:szCs w:val="20"/>
        </w:rPr>
        <w:t>办公室电话:</w:t>
      </w:r>
    </w:p>
    <w:p>
      <w:pPr>
        <w:snapToGrid w:val="0"/>
        <w:spacing w:line="460" w:lineRule="exact"/>
        <w:ind w:firstLine="480" w:firstLineChars="200"/>
        <w:rPr>
          <w:rFonts w:ascii="宋体" w:hAnsi="宋体"/>
          <w:color w:val="000000"/>
          <w:sz w:val="20"/>
          <w:szCs w:val="20"/>
        </w:rPr>
      </w:pPr>
      <w:r>
        <w:rPr>
          <w:rFonts w:ascii="宋体" w:hAnsi="宋体"/>
          <w:color w:val="000000"/>
          <w:sz w:val="20"/>
          <w:szCs w:val="20"/>
        </w:rPr>
        <w:t>办公室传真：</w:t>
      </w:r>
    </w:p>
    <w:p>
      <w:pPr>
        <w:snapToGrid w:val="0"/>
        <w:spacing w:line="460" w:lineRule="exact"/>
        <w:ind w:firstLine="480" w:firstLineChars="200"/>
        <w:rPr>
          <w:rFonts w:ascii="宋体" w:hAnsi="宋体"/>
          <w:color w:val="000000"/>
          <w:sz w:val="20"/>
          <w:szCs w:val="20"/>
        </w:rPr>
      </w:pPr>
      <w:r>
        <w:rPr>
          <w:rFonts w:ascii="宋体" w:hAnsi="宋体"/>
          <w:color w:val="000000"/>
          <w:sz w:val="20"/>
          <w:szCs w:val="20"/>
        </w:rPr>
        <w:t>开户银行：</w:t>
      </w:r>
    </w:p>
    <w:p>
      <w:pPr>
        <w:snapToGrid w:val="0"/>
        <w:spacing w:line="460" w:lineRule="exact"/>
        <w:ind w:firstLine="480" w:firstLineChars="200"/>
        <w:rPr>
          <w:rFonts w:ascii="宋体" w:hAnsi="宋体"/>
          <w:color w:val="000000"/>
          <w:sz w:val="20"/>
          <w:szCs w:val="20"/>
        </w:rPr>
      </w:pPr>
      <w:r>
        <w:rPr>
          <w:rFonts w:ascii="宋体" w:hAnsi="宋体"/>
          <w:color w:val="000000"/>
          <w:sz w:val="20"/>
          <w:szCs w:val="20"/>
        </w:rPr>
        <w:t>银行账号：</w:t>
      </w:r>
    </w:p>
    <w:p>
      <w:pPr>
        <w:snapToGrid w:val="0"/>
        <w:spacing w:line="460" w:lineRule="exact"/>
        <w:ind w:firstLine="480" w:firstLineChars="200"/>
        <w:rPr>
          <w:rFonts w:eastAsia="Times New Roman"/>
          <w:color w:val="000000"/>
          <w:sz w:val="20"/>
          <w:szCs w:val="20"/>
        </w:rPr>
      </w:pPr>
      <w:r>
        <w:rPr>
          <w:rFonts w:ascii="宋体" w:hAnsi="宋体"/>
          <w:color w:val="000000"/>
          <w:sz w:val="20"/>
          <w:szCs w:val="20"/>
        </w:rPr>
        <w:t>乙方代表签字：</w:t>
      </w:r>
      <w:r>
        <w:rPr>
          <w:rFonts w:eastAsia="Times New Roman"/>
          <w:color w:val="000000"/>
          <w:sz w:val="20"/>
          <w:szCs w:val="20"/>
        </w:rPr>
        <w:t xml:space="preserve"> </w:t>
      </w:r>
      <w:r>
        <w:rPr>
          <w:rFonts w:eastAsia="Times New Roman"/>
          <w:color w:val="000000"/>
          <w:sz w:val="20"/>
          <w:szCs w:val="20"/>
          <w:u w:val="single"/>
        </w:rPr>
        <w:t xml:space="preserve">                   </w:t>
      </w:r>
      <w:r>
        <w:rPr>
          <w:rFonts w:eastAsia="Times New Roman"/>
          <w:color w:val="000000"/>
          <w:sz w:val="20"/>
          <w:szCs w:val="20"/>
        </w:rPr>
        <w:tab/>
      </w:r>
      <w:r>
        <w:rPr>
          <w:rFonts w:ascii="宋体" w:hAnsi="宋体"/>
          <w:color w:val="000000"/>
          <w:sz w:val="20"/>
          <w:szCs w:val="20"/>
        </w:rPr>
        <w:t>手机号码：</w:t>
      </w:r>
      <w:r>
        <w:rPr>
          <w:rFonts w:eastAsia="Times New Roman"/>
          <w:color w:val="000000"/>
          <w:sz w:val="20"/>
          <w:szCs w:val="20"/>
          <w:u w:val="single"/>
        </w:rPr>
        <w:t xml:space="preserve">                       </w:t>
      </w:r>
    </w:p>
    <w:p>
      <w:pPr>
        <w:snapToGrid w:val="0"/>
        <w:spacing w:line="460" w:lineRule="exact"/>
        <w:rPr>
          <w:rFonts w:ascii="宋体" w:hAnsi="宋体"/>
          <w:color w:val="000000"/>
          <w:sz w:val="20"/>
          <w:szCs w:val="20"/>
        </w:rPr>
      </w:pPr>
    </w:p>
    <w:p>
      <w:pPr>
        <w:snapToGrid w:val="0"/>
        <w:spacing w:line="460" w:lineRule="exact"/>
        <w:ind w:firstLine="480" w:firstLineChars="200"/>
        <w:rPr>
          <w:rFonts w:ascii="宋体" w:hAnsi="宋体"/>
          <w:color w:val="000000"/>
          <w:sz w:val="20"/>
          <w:szCs w:val="20"/>
        </w:rPr>
      </w:pPr>
    </w:p>
    <w:p>
      <w:pPr>
        <w:snapToGrid w:val="0"/>
        <w:spacing w:line="360" w:lineRule="auto"/>
        <w:ind w:firstLine="3600" w:firstLineChars="1500"/>
        <w:rPr>
          <w:rFonts w:ascii="宋体" w:hAnsi="宋体"/>
          <w:color w:val="000000"/>
          <w:sz w:val="20"/>
          <w:szCs w:val="20"/>
        </w:rPr>
      </w:pPr>
      <w:r>
        <w:rPr>
          <w:rFonts w:ascii="宋体" w:hAnsi="宋体"/>
          <w:color w:val="000000"/>
          <w:sz w:val="20"/>
          <w:szCs w:val="20"/>
        </w:rPr>
        <w:t>签约时间：</w:t>
      </w:r>
      <w:r>
        <w:rPr>
          <w:rFonts w:eastAsia="Times New Roman"/>
          <w:color w:val="000000"/>
          <w:sz w:val="20"/>
          <w:szCs w:val="20"/>
        </w:rPr>
        <w:t xml:space="preserve">         </w:t>
      </w:r>
      <w:r>
        <w:rPr>
          <w:rFonts w:ascii="宋体" w:hAnsi="宋体"/>
          <w:color w:val="000000"/>
          <w:sz w:val="20"/>
          <w:szCs w:val="20"/>
        </w:rPr>
        <w:t>年</w:t>
      </w:r>
      <w:r>
        <w:rPr>
          <w:rFonts w:eastAsia="Times New Roman"/>
          <w:color w:val="000000"/>
          <w:sz w:val="20"/>
          <w:szCs w:val="20"/>
        </w:rPr>
        <w:t xml:space="preserve">     </w:t>
      </w:r>
      <w:r>
        <w:rPr>
          <w:rFonts w:ascii="宋体" w:hAnsi="宋体"/>
          <w:color w:val="000000"/>
          <w:sz w:val="20"/>
          <w:szCs w:val="20"/>
        </w:rPr>
        <w:t>月</w:t>
      </w:r>
      <w:r>
        <w:rPr>
          <w:rFonts w:eastAsia="Times New Roman"/>
          <w:color w:val="000000"/>
          <w:sz w:val="20"/>
          <w:szCs w:val="20"/>
        </w:rPr>
        <w:t xml:space="preserve">     </w:t>
      </w:r>
      <w:r>
        <w:rPr>
          <w:rFonts w:ascii="宋体" w:hAnsi="宋体"/>
          <w:color w:val="000000"/>
          <w:sz w:val="20"/>
          <w:szCs w:val="20"/>
        </w:rPr>
        <w:t>日</w:t>
      </w:r>
    </w:p>
    <w:p>
      <w:pPr>
        <w:snapToGrid w:val="0"/>
        <w:spacing w:line="460" w:lineRule="exact"/>
        <w:ind w:firstLine="3600" w:firstLineChars="1500"/>
        <w:rPr>
          <w:rFonts w:eastAsia="Times New Roman"/>
          <w:color w:val="000000"/>
          <w:sz w:val="20"/>
          <w:szCs w:val="20"/>
        </w:rPr>
      </w:pPr>
      <w:r>
        <w:rPr>
          <w:rFonts w:ascii="宋体" w:hAnsi="宋体"/>
          <w:color w:val="000000"/>
          <w:sz w:val="20"/>
          <w:szCs w:val="20"/>
        </w:rPr>
        <w:t>签约地址：</w:t>
      </w:r>
      <w:r>
        <w:rPr>
          <w:rFonts w:eastAsia="Times New Roman"/>
          <w:color w:val="000000"/>
          <w:sz w:val="20"/>
          <w:szCs w:val="20"/>
        </w:rPr>
        <w:t xml:space="preserve"> </w:t>
      </w:r>
      <w:r>
        <w:rPr>
          <w:rFonts w:eastAsia="Times New Roman"/>
          <w:color w:val="000000"/>
          <w:sz w:val="20"/>
          <w:szCs w:val="20"/>
          <w:u w:val="single"/>
        </w:rPr>
        <w:t xml:space="preserve">       </w:t>
      </w:r>
      <w:r>
        <w:rPr>
          <w:rFonts w:ascii="宋体" w:hAnsi="宋体"/>
          <w:color w:val="000000"/>
          <w:sz w:val="20"/>
          <w:szCs w:val="20"/>
          <w:u w:val="single"/>
        </w:rPr>
        <w:t>深圳</w:t>
      </w:r>
      <w:r>
        <w:rPr>
          <w:rFonts w:eastAsia="Times New Roman"/>
          <w:color w:val="000000"/>
          <w:sz w:val="20"/>
          <w:szCs w:val="20"/>
          <w:u w:val="single"/>
        </w:rPr>
        <w:t xml:space="preserve">        </w:t>
      </w:r>
    </w:p>
    <w:p>
      <w:pPr>
        <w:snapToGrid w:val="0"/>
        <w:spacing w:line="460" w:lineRule="exact"/>
        <w:jc w:val="left"/>
        <w:rPr>
          <w:rFonts w:ascii="宋体" w:hAnsi="宋体"/>
          <w:color w:val="000000"/>
          <w:sz w:val="20"/>
          <w:szCs w:val="20"/>
        </w:rPr>
      </w:pPr>
    </w:p>
    <w:p>
      <w:pPr>
        <w:snapToGrid w:val="0"/>
        <w:spacing w:line="460" w:lineRule="exact"/>
        <w:jc w:val="left"/>
        <w:rPr>
          <w:rFonts w:ascii="宋体" w:hAnsi="宋体"/>
          <w:color w:val="000000"/>
          <w:sz w:val="20"/>
          <w:szCs w:val="20"/>
        </w:rPr>
      </w:pPr>
      <w:r>
        <w:rPr>
          <w:rFonts w:ascii="宋体" w:hAnsi="宋体"/>
          <w:color w:val="000000"/>
          <w:sz w:val="20"/>
          <w:szCs w:val="20"/>
        </w:rPr>
        <w:t>技术参数（与投标文件※※</w:t>
      </w:r>
      <w:r>
        <w:rPr>
          <w:rFonts w:eastAsia="Times New Roman"/>
          <w:color w:val="000000"/>
          <w:sz w:val="20"/>
          <w:szCs w:val="20"/>
        </w:rPr>
        <w:t>---</w:t>
      </w:r>
      <w:r>
        <w:rPr>
          <w:rFonts w:ascii="宋体" w:hAnsi="宋体"/>
          <w:color w:val="000000"/>
          <w:sz w:val="20"/>
          <w:szCs w:val="20"/>
        </w:rPr>
        <w:t>※※页技术偏离表相一致，正偏离要体现出来）</w:t>
      </w:r>
    </w:p>
    <w:p>
      <w:pPr>
        <w:snapToGrid w:val="0"/>
        <w:spacing w:line="460" w:lineRule="exact"/>
        <w:ind w:firstLine="3600" w:firstLineChars="1500"/>
        <w:rPr>
          <w:rFonts w:ascii="宋体" w:hAnsi="宋体"/>
          <w:color w:val="000000"/>
          <w:sz w:val="20"/>
          <w:szCs w:val="20"/>
        </w:rPr>
      </w:pPr>
    </w:p>
    <w:p>
      <w:pPr>
        <w:snapToGrid w:val="0"/>
        <w:spacing w:line="460" w:lineRule="exact"/>
        <w:ind w:firstLine="3600" w:firstLineChars="1500"/>
        <w:rPr>
          <w:rFonts w:ascii="宋体" w:hAnsi="宋体"/>
          <w:color w:val="000000"/>
          <w:sz w:val="20"/>
          <w:szCs w:val="20"/>
        </w:rPr>
      </w:pPr>
    </w:p>
    <w:p>
      <w:pPr>
        <w:snapToGrid w:val="0"/>
        <w:spacing w:line="460" w:lineRule="exact"/>
        <w:ind w:firstLine="3600" w:firstLineChars="1500"/>
        <w:rPr>
          <w:rFonts w:ascii="宋体" w:hAnsi="宋体"/>
          <w:color w:val="000000"/>
          <w:sz w:val="20"/>
          <w:szCs w:val="20"/>
        </w:rPr>
      </w:pPr>
    </w:p>
    <w:p>
      <w:pPr>
        <w:snapToGrid w:val="0"/>
        <w:spacing w:line="460" w:lineRule="exact"/>
        <w:ind w:firstLine="3600" w:firstLineChars="1500"/>
        <w:rPr>
          <w:rFonts w:ascii="宋体" w:hAnsi="宋体"/>
          <w:color w:val="000000"/>
          <w:sz w:val="20"/>
          <w:szCs w:val="20"/>
        </w:rPr>
      </w:pPr>
      <w:r>
        <w:rPr>
          <w:rFonts w:ascii="宋体" w:hAnsi="宋体"/>
          <w:color w:val="000000"/>
          <w:sz w:val="20"/>
          <w:szCs w:val="20"/>
        </w:rPr>
        <w:t>乙方：</w:t>
      </w:r>
      <w:r>
        <w:rPr>
          <w:rFonts w:eastAsia="Times New Roman"/>
          <w:color w:val="000000"/>
          <w:sz w:val="20"/>
          <w:szCs w:val="20"/>
        </w:rPr>
        <w:t xml:space="preserve">                          (</w:t>
      </w:r>
      <w:r>
        <w:rPr>
          <w:rFonts w:ascii="宋体" w:hAnsi="宋体"/>
          <w:color w:val="000000"/>
          <w:sz w:val="20"/>
          <w:szCs w:val="20"/>
        </w:rPr>
        <w:t>盖章</w:t>
      </w:r>
      <w:r>
        <w:rPr>
          <w:rFonts w:eastAsia="Times New Roman"/>
          <w:color w:val="000000"/>
          <w:sz w:val="20"/>
          <w:szCs w:val="20"/>
        </w:rPr>
        <w:t>)</w:t>
      </w:r>
    </w:p>
    <w:p/>
    <w:p>
      <w:pPr>
        <w:spacing w:line="460" w:lineRule="exact"/>
        <w:ind w:firstLine="3600" w:firstLineChars="1500"/>
        <w:outlineLvl w:val="1"/>
        <w:rPr>
          <w:rFonts w:hint="eastAsia"/>
          <w:color w:val="000000"/>
        </w:rPr>
      </w:pPr>
    </w:p>
    <w:p>
      <w:pPr>
        <w:pStyle w:val="Heading1"/>
        <w:spacing w:before="120" w:beforeLines="50" w:after="120" w:afterLines="50"/>
        <w:ind w:left="562"/>
        <w:rPr>
          <w:rFonts w:eastAsia="宋体" w:cs="宋体" w:hint="eastAsia"/>
          <w:szCs w:val="28"/>
        </w:rPr>
      </w:pPr>
      <w:r>
        <w:rPr>
          <w:rFonts w:eastAsia="宋体" w:cs="宋体" w:hint="eastAsia"/>
          <w:sz w:val="32"/>
        </w:rPr>
        <w:br w:type="page"/>
      </w:r>
      <w:r>
        <w:rPr>
          <w:rFonts w:eastAsia="宋体" w:cs="宋体" w:hint="eastAsia"/>
          <w:sz w:val="32"/>
        </w:rPr>
        <w:t>第二册 通用条款（公开招标）</w:t>
      </w:r>
    </w:p>
    <w:p>
      <w:pPr>
        <w:pStyle w:val="Heading2"/>
        <w:numPr>
          <w:ilvl w:val="0"/>
          <w:numId w:val="6"/>
        </w:numPr>
        <w:tabs>
          <w:tab w:val="left" w:pos="720"/>
        </w:tabs>
        <w:spacing w:before="120" w:beforeLines="50" w:after="120" w:afterLines="50"/>
        <w:ind w:left="562" w:hanging="562"/>
        <w:rPr>
          <w:rFonts w:cs="宋体" w:hint="eastAsia"/>
          <w:b w:val="0"/>
          <w:bCs w:val="0"/>
          <w:sz w:val="28"/>
          <w:szCs w:val="28"/>
        </w:rPr>
      </w:pPr>
      <w:r>
        <w:rPr>
          <w:rFonts w:cs="宋体" w:hint="eastAsia"/>
          <w:b w:val="0"/>
          <w:bCs w:val="0"/>
          <w:sz w:val="28"/>
          <w:szCs w:val="28"/>
        </w:rPr>
        <w:t>总则</w:t>
      </w:r>
    </w:p>
    <w:p>
      <w:pPr>
        <w:rPr>
          <w:rFonts w:ascii="宋体" w:hAnsi="宋体" w:cs="宋体" w:hint="eastAsia"/>
          <w:sz w:val="24"/>
        </w:rPr>
      </w:pPr>
      <w:r>
        <w:rPr>
          <w:rFonts w:ascii="宋体" w:hAnsi="宋体" w:cs="宋体" w:hint="eastAsia"/>
          <w:sz w:val="24"/>
        </w:rPr>
        <w:t>1.通用条款说明</w:t>
      </w:r>
    </w:p>
    <w:p>
      <w:pPr>
        <w:ind w:firstLine="470" w:firstLineChars="196"/>
        <w:rPr>
          <w:rFonts w:ascii="宋体" w:hAnsi="宋体" w:cs="宋体" w:hint="eastAsia"/>
          <w:szCs w:val="21"/>
        </w:rPr>
      </w:pPr>
      <w:r>
        <w:rPr>
          <w:rFonts w:ascii="宋体" w:hAnsi="宋体" w:cs="宋体" w:hint="eastAsia"/>
          <w:szCs w:val="21"/>
        </w:rPr>
        <w:t>1.1采购代理机构发出招标文件通用条款版本，列出深圳市政府采购项目进行招标采购所适用的通用条款内容。如有需要，采购代理机构可以随这些条款增加附录或补充内容。</w:t>
      </w:r>
    </w:p>
    <w:p>
      <w:pPr>
        <w:ind w:firstLine="470" w:firstLineChars="196"/>
        <w:rPr>
          <w:rFonts w:ascii="宋体" w:hAnsi="宋体" w:cs="宋体" w:hint="eastAsia"/>
          <w:szCs w:val="21"/>
        </w:rPr>
      </w:pPr>
      <w:r>
        <w:rPr>
          <w:rFonts w:ascii="宋体" w:hAnsi="宋体" w:cs="宋体" w:hint="eastAsia"/>
          <w:szCs w:val="21"/>
        </w:rPr>
        <w:t>1.2本招标文件分为第一册“专用条款”和第二册“通用条款”。</w:t>
      </w:r>
    </w:p>
    <w:p>
      <w:pPr>
        <w:ind w:firstLine="470" w:firstLineChars="196"/>
        <w:rPr>
          <w:rFonts w:ascii="宋体" w:hAnsi="宋体" w:cs="宋体" w:hint="eastAsia"/>
          <w:szCs w:val="21"/>
        </w:rPr>
      </w:pPr>
      <w:r>
        <w:rPr>
          <w:rFonts w:ascii="宋体" w:hAnsi="宋体" w:cs="宋体" w:hint="eastAsia"/>
          <w:szCs w:val="21"/>
        </w:rPr>
        <w:t>1.3“专用条款”是对本次采购项目的具体要求，包含投标人资格要求、招标项目需求、投标文件格式、附件等内容。</w:t>
      </w:r>
    </w:p>
    <w:p>
      <w:pPr>
        <w:ind w:firstLine="470" w:firstLineChars="196"/>
        <w:rPr>
          <w:rFonts w:ascii="宋体" w:hAnsi="宋体" w:cs="宋体" w:hint="eastAsia"/>
          <w:szCs w:val="21"/>
        </w:rPr>
      </w:pPr>
      <w:r>
        <w:rPr>
          <w:rFonts w:ascii="宋体" w:hAnsi="宋体" w:cs="宋体" w:hint="eastAsia"/>
          <w:szCs w:val="21"/>
        </w:rPr>
        <w:t>1.4“通用条款”是通用于政府采购项目的基础性条款，具有普遍性和通用性。</w:t>
      </w:r>
    </w:p>
    <w:p>
      <w:pPr>
        <w:ind w:firstLine="470" w:firstLineChars="196"/>
        <w:rPr>
          <w:rFonts w:ascii="宋体" w:hAnsi="宋体" w:cs="宋体" w:hint="eastAsia"/>
          <w:szCs w:val="21"/>
        </w:rPr>
      </w:pPr>
      <w:r>
        <w:rPr>
          <w:rFonts w:ascii="宋体" w:hAnsi="宋体" w:cs="宋体" w:hint="eastAsia"/>
          <w:szCs w:val="21"/>
        </w:rPr>
        <w:t>1.5 “专用条款”和“通用条款”表述不一致或有冲突时，以“专用条款”为准。</w:t>
      </w:r>
    </w:p>
    <w:p>
      <w:pPr>
        <w:rPr>
          <w:rFonts w:ascii="宋体" w:hAnsi="宋体" w:cs="宋体" w:hint="eastAsia"/>
          <w:sz w:val="24"/>
        </w:rPr>
      </w:pPr>
      <w:r>
        <w:rPr>
          <w:rFonts w:ascii="宋体" w:hAnsi="宋体" w:cs="宋体" w:hint="eastAsia"/>
          <w:sz w:val="24"/>
        </w:rPr>
        <w:t>2．招标说明</w:t>
      </w:r>
    </w:p>
    <w:p>
      <w:pPr>
        <w:ind w:firstLine="470" w:firstLineChars="196"/>
        <w:rPr>
          <w:rFonts w:ascii="宋体" w:hAnsi="宋体" w:cs="宋体" w:hint="eastAsia"/>
          <w:szCs w:val="21"/>
        </w:rPr>
      </w:pPr>
      <w:r>
        <w:rPr>
          <w:rFonts w:ascii="宋体" w:hAnsi="宋体" w:cs="宋体" w:hint="eastAsia"/>
          <w:szCs w:val="21"/>
        </w:rPr>
        <w:t>本项目按照《深圳经济特区政府采购条例》、《深圳经济特区政府采购条例实施细则》等规定，并参考有关法规，通过招标选定供应商。</w:t>
      </w:r>
    </w:p>
    <w:p>
      <w:pPr>
        <w:rPr>
          <w:rFonts w:ascii="宋体" w:hAnsi="宋体" w:cs="宋体" w:hint="eastAsia"/>
          <w:sz w:val="24"/>
        </w:rPr>
      </w:pPr>
      <w:r>
        <w:rPr>
          <w:rFonts w:ascii="宋体" w:hAnsi="宋体" w:cs="宋体" w:hint="eastAsia"/>
          <w:sz w:val="24"/>
        </w:rPr>
        <w:t>3．定义</w:t>
      </w:r>
    </w:p>
    <w:p>
      <w:pPr>
        <w:ind w:firstLine="480" w:firstLineChars="200"/>
        <w:rPr>
          <w:rFonts w:ascii="宋体" w:hAnsi="宋体" w:cs="宋体" w:hint="eastAsia"/>
          <w:szCs w:val="21"/>
        </w:rPr>
      </w:pPr>
      <w:r>
        <w:rPr>
          <w:rFonts w:ascii="宋体" w:hAnsi="宋体" w:cs="宋体" w:hint="eastAsia"/>
          <w:szCs w:val="21"/>
        </w:rPr>
        <w:t>招标文件中下列术语应解释为：</w:t>
      </w:r>
    </w:p>
    <w:p>
      <w:pPr>
        <w:ind w:firstLine="470" w:firstLineChars="196"/>
        <w:rPr>
          <w:rFonts w:ascii="宋体" w:hAnsi="宋体" w:cs="宋体" w:hint="eastAsia"/>
          <w:szCs w:val="21"/>
        </w:rPr>
      </w:pPr>
      <w:r>
        <w:rPr>
          <w:rFonts w:ascii="宋体" w:hAnsi="宋体" w:cs="宋体" w:hint="eastAsia"/>
          <w:szCs w:val="21"/>
        </w:rPr>
        <w:t>3.1“政府集中采购机构”</w:t>
      </w:r>
      <w:r>
        <w:rPr>
          <w:rFonts w:ascii="宋体" w:hAnsi="宋体" w:cs="宋体" w:hint="eastAsia"/>
          <w:szCs w:val="21"/>
          <w:shd w:val="clear" w:color="auto" w:fill="FFFFFF"/>
        </w:rPr>
        <w:t>是指市政府设立的，对纳入集中采购目录内的采购项目组织实施采购，并对政府采购活动提供服务的专门机构；</w:t>
      </w:r>
      <w:r>
        <w:rPr>
          <w:rFonts w:ascii="宋体" w:hAnsi="宋体" w:cs="宋体" w:hint="eastAsia"/>
          <w:szCs w:val="21"/>
        </w:rPr>
        <w:t>本文件所述的“政府集中采购机构”指深圳市政府采购中心；</w:t>
      </w:r>
    </w:p>
    <w:p>
      <w:pPr>
        <w:ind w:firstLine="470" w:firstLineChars="196"/>
        <w:rPr>
          <w:rFonts w:ascii="宋体" w:hAnsi="宋体" w:cs="宋体" w:hint="eastAsia"/>
          <w:szCs w:val="21"/>
        </w:rPr>
      </w:pPr>
      <w:r>
        <w:rPr>
          <w:rFonts w:ascii="宋体" w:hAnsi="宋体" w:cs="宋体" w:hint="eastAsia"/>
          <w:szCs w:val="21"/>
        </w:rPr>
        <w:t>3.2“采购代理机构”</w:t>
      </w:r>
      <w:r>
        <w:rPr>
          <w:rFonts w:ascii="宋体" w:hAnsi="宋体" w:cs="宋体" w:hint="eastAsia"/>
          <w:szCs w:val="21"/>
          <w:u w:val="single"/>
        </w:rPr>
        <w:t>系</w:t>
      </w:r>
      <w:r>
        <w:rPr>
          <w:rFonts w:ascii="宋体" w:hAnsi="宋体" w:cs="宋体" w:hint="eastAsia"/>
          <w:spacing w:val="8"/>
          <w:u w:val="single"/>
        </w:rPr>
        <w:t>指根据采购人的委托，代理政府采购事宜的机构；</w:t>
      </w:r>
      <w:r>
        <w:rPr>
          <w:rFonts w:ascii="宋体" w:hAnsi="宋体" w:cs="宋体" w:hint="eastAsia"/>
          <w:szCs w:val="21"/>
        </w:rPr>
        <w:t>本文件所述的“采购代理机构”指</w:t>
      </w:r>
      <w:r>
        <w:rPr>
          <w:rFonts w:ascii="宋体" w:hAnsi="宋体" w:cs="宋体" w:hint="eastAsia"/>
          <w:spacing w:val="8"/>
          <w:u w:val="single"/>
        </w:rPr>
        <w:t>深圳市振东招标代理有限公司；</w:t>
      </w:r>
    </w:p>
    <w:p>
      <w:pPr>
        <w:ind w:firstLine="470" w:firstLineChars="196"/>
        <w:rPr>
          <w:rFonts w:ascii="宋体" w:hAnsi="宋体" w:cs="宋体" w:hint="eastAsia"/>
          <w:szCs w:val="21"/>
        </w:rPr>
      </w:pPr>
      <w:r>
        <w:rPr>
          <w:rFonts w:ascii="宋体" w:hAnsi="宋体" w:cs="宋体" w:hint="eastAsia"/>
          <w:szCs w:val="21"/>
        </w:rPr>
        <w:t>3.3“采购人”指利用财政性资金依法进行政府采购的国家机关、事业单位、团体组织；</w:t>
      </w:r>
    </w:p>
    <w:p>
      <w:pPr>
        <w:ind w:firstLine="470" w:firstLineChars="196"/>
        <w:rPr>
          <w:rFonts w:ascii="宋体" w:hAnsi="宋体" w:cs="宋体" w:hint="eastAsia"/>
          <w:szCs w:val="21"/>
        </w:rPr>
      </w:pPr>
      <w:r>
        <w:rPr>
          <w:rFonts w:ascii="宋体" w:hAnsi="宋体" w:cs="宋体" w:hint="eastAsia"/>
          <w:szCs w:val="21"/>
        </w:rPr>
        <w:t>3.4“投标人”即供应商，指参加投标竞争并愿意按照招标文件要求向采购人提供货物、工程或者服务的依法成立的法人、其他组织或者自然人；</w:t>
      </w:r>
    </w:p>
    <w:p>
      <w:pPr>
        <w:ind w:firstLine="470" w:firstLineChars="196"/>
        <w:rPr>
          <w:rFonts w:ascii="宋体" w:hAnsi="宋体" w:cs="宋体" w:hint="eastAsia"/>
          <w:szCs w:val="21"/>
        </w:rPr>
      </w:pPr>
      <w:r>
        <w:rPr>
          <w:rFonts w:ascii="宋体" w:hAnsi="宋体" w:cs="宋体" w:hint="eastAsia"/>
          <w:szCs w:val="21"/>
        </w:rPr>
        <w:t>3.5“评审委员会”和“谈判小组”是依据《深圳经济特区政府采购条例》、《深圳经济特区政府采购条例实施细则》等有关规定组建的专门负责本次招标其评标（谈判）工作的临时性机构；</w:t>
      </w:r>
    </w:p>
    <w:p>
      <w:pPr>
        <w:ind w:firstLine="470" w:firstLineChars="196"/>
        <w:rPr>
          <w:rFonts w:ascii="宋体" w:hAnsi="宋体" w:cs="宋体" w:hint="eastAsia"/>
          <w:szCs w:val="21"/>
        </w:rPr>
      </w:pPr>
      <w:r>
        <w:rPr>
          <w:rFonts w:ascii="宋体" w:hAnsi="宋体" w:cs="宋体" w:hint="eastAsia"/>
          <w:szCs w:val="21"/>
        </w:rPr>
        <w:t>3.6“日期”指公历日；</w:t>
      </w:r>
    </w:p>
    <w:p>
      <w:pPr>
        <w:ind w:firstLine="470" w:firstLineChars="196"/>
        <w:rPr>
          <w:rFonts w:ascii="宋体" w:hAnsi="宋体" w:cs="宋体" w:hint="eastAsia"/>
          <w:szCs w:val="21"/>
        </w:rPr>
      </w:pPr>
      <w:r>
        <w:rPr>
          <w:rFonts w:ascii="宋体" w:hAnsi="宋体" w:cs="宋体" w:hint="eastAsia"/>
          <w:szCs w:val="21"/>
        </w:rPr>
        <w:t>3.7“合同”指由本次招标所产生的合同或合约文件；</w:t>
      </w:r>
    </w:p>
    <w:p>
      <w:pPr>
        <w:ind w:firstLine="470" w:firstLineChars="196"/>
        <w:rPr>
          <w:rFonts w:ascii="宋体" w:hAnsi="宋体" w:cs="宋体" w:hint="eastAsia"/>
          <w:szCs w:val="21"/>
        </w:rPr>
      </w:pPr>
      <w:r>
        <w:rPr>
          <w:rFonts w:ascii="宋体" w:hAnsi="宋体" w:cs="宋体" w:hint="eastAsia"/>
          <w:szCs w:val="21"/>
        </w:rPr>
        <w:t>3.8“电子投标文件”指利用深圳公共资源交易中心市区政府采购统一平台提供的投标书加密软件加密的投标文件,适用于网上投标；（此投标书加密软件可从</w:t>
      </w:r>
      <w:r>
        <w:rPr>
          <w:rFonts w:ascii="宋体" w:hAnsi="宋体" w:cs="宋体" w:hint="eastAsia"/>
        </w:rPr>
        <w:fldChar w:fldCharType="begin"/>
      </w:r>
      <w:r>
        <w:rPr>
          <w:rFonts w:ascii="宋体" w:hAnsi="宋体" w:cs="宋体" w:hint="eastAsia"/>
        </w:rPr>
        <w:instrText>HYPERLINK "http://www.szzfcg.cn"</w:instrText>
      </w:r>
      <w:r>
        <w:rPr>
          <w:rFonts w:ascii="宋体" w:hAnsi="宋体" w:cs="宋体" w:hint="eastAsia"/>
        </w:rPr>
        <w:fldChar w:fldCharType="separate"/>
      </w:r>
      <w:r>
        <w:rPr>
          <w:rStyle w:val="Hyperlink"/>
          <w:rFonts w:hint="default"/>
          <w:color w:val="auto"/>
          <w:szCs w:val="21"/>
        </w:rPr>
        <w:t>cgzx.sz.gov.cn</w:t>
      </w:r>
      <w:r>
        <w:rPr>
          <w:rFonts w:ascii="宋体" w:hAnsi="宋体" w:cs="宋体" w:hint="eastAsia"/>
        </w:rPr>
        <w:fldChar w:fldCharType="end"/>
      </w:r>
      <w:r>
        <w:rPr>
          <w:rFonts w:ascii="宋体" w:hAnsi="宋体" w:cs="宋体" w:hint="eastAsia"/>
          <w:szCs w:val="21"/>
        </w:rPr>
        <w:t>网站“相关软件”栏目中下载）</w:t>
      </w:r>
    </w:p>
    <w:p>
      <w:pPr>
        <w:ind w:firstLine="470" w:firstLineChars="196"/>
        <w:rPr>
          <w:rFonts w:ascii="宋体" w:hAnsi="宋体" w:cs="宋体" w:hint="eastAsia"/>
          <w:szCs w:val="21"/>
        </w:rPr>
      </w:pPr>
      <w:r>
        <w:rPr>
          <w:rFonts w:ascii="宋体" w:hAnsi="宋体" w:cs="宋体" w:hint="eastAsia"/>
          <w:szCs w:val="21"/>
        </w:rPr>
        <w:t>3.9“网上投标”指通过深圳公共资源交易中心市区政府采购统一平台上传电子投标文件；</w:t>
      </w:r>
    </w:p>
    <w:p>
      <w:pPr>
        <w:ind w:firstLine="470" w:firstLineChars="196"/>
        <w:rPr>
          <w:rFonts w:ascii="宋体" w:hAnsi="宋体" w:cs="宋体" w:hint="eastAsia"/>
          <w:szCs w:val="21"/>
        </w:rPr>
      </w:pPr>
      <w:r>
        <w:rPr>
          <w:rFonts w:ascii="宋体" w:hAnsi="宋体" w:cs="宋体" w:hint="eastAsia"/>
          <w:szCs w:val="21"/>
        </w:rPr>
        <w:t>3.10招标文件中的标题或题名仅起引导作用，而不应视为对招标文件内容的理解和解释。</w:t>
      </w:r>
    </w:p>
    <w:p>
      <w:pPr>
        <w:rPr>
          <w:rFonts w:ascii="宋体" w:hAnsi="宋体" w:cs="宋体" w:hint="eastAsia"/>
          <w:sz w:val="24"/>
        </w:rPr>
      </w:pPr>
      <w:r>
        <w:rPr>
          <w:rFonts w:ascii="宋体" w:hAnsi="宋体" w:cs="宋体" w:hint="eastAsia"/>
          <w:sz w:val="24"/>
        </w:rPr>
        <w:t>4. 政府采购供应商责任</w:t>
      </w:r>
    </w:p>
    <w:p>
      <w:pPr>
        <w:ind w:firstLine="470" w:firstLineChars="196"/>
        <w:rPr>
          <w:rFonts w:ascii="宋体" w:hAnsi="宋体" w:cs="宋体" w:hint="eastAsia"/>
          <w:szCs w:val="21"/>
        </w:rPr>
      </w:pPr>
      <w:r>
        <w:rPr>
          <w:rFonts w:ascii="宋体" w:hAnsi="宋体" w:cs="宋体" w:hint="eastAsia"/>
          <w:szCs w:val="21"/>
        </w:rPr>
        <w:t>4.1欢迎诚信、有实力和有社会责任心的供应商参与政府采购事业。</w:t>
      </w:r>
    </w:p>
    <w:p>
      <w:pPr>
        <w:ind w:firstLine="470" w:firstLineChars="196"/>
        <w:rPr>
          <w:rFonts w:ascii="宋体" w:hAnsi="宋体" w:cs="宋体" w:hint="eastAsia"/>
          <w:szCs w:val="21"/>
        </w:rPr>
      </w:pPr>
      <w:r>
        <w:rPr>
          <w:rFonts w:ascii="宋体" w:hAnsi="宋体" w:cs="宋体" w:hint="eastAsia"/>
          <w:szCs w:val="21"/>
        </w:rPr>
        <w:t>4.2投标人应当遵循公平竞争的原则，不得恶意串通，不得妨碍其他投标人的竞争行为，不得损害采购人或者其他投标人的合法权益。如违反上述要求，经核实后，供应商的投标无效。</w:t>
      </w:r>
    </w:p>
    <w:p>
      <w:pPr>
        <w:rPr>
          <w:rFonts w:ascii="宋体" w:hAnsi="宋体" w:cs="宋体" w:hint="eastAsia"/>
          <w:sz w:val="24"/>
        </w:rPr>
      </w:pPr>
      <w:r>
        <w:rPr>
          <w:rFonts w:ascii="宋体" w:hAnsi="宋体" w:cs="宋体" w:hint="eastAsia"/>
          <w:sz w:val="24"/>
        </w:rPr>
        <w:t>5．投标人参加政府采购的条件</w:t>
      </w:r>
    </w:p>
    <w:p>
      <w:pPr>
        <w:ind w:firstLine="470" w:firstLineChars="196"/>
        <w:rPr>
          <w:rFonts w:ascii="宋体" w:hAnsi="宋体" w:cs="宋体" w:hint="eastAsia"/>
          <w:szCs w:val="21"/>
        </w:rPr>
      </w:pPr>
      <w:r>
        <w:rPr>
          <w:rFonts w:ascii="宋体" w:hAnsi="宋体" w:cs="宋体" w:hint="eastAsia"/>
          <w:szCs w:val="21"/>
        </w:rPr>
        <w:t>5.1投标人应在投标前到政府集中采购机构进行注册，</w:t>
      </w:r>
      <w:r>
        <w:rPr>
          <w:rFonts w:ascii="宋体" w:hAnsi="宋体" w:hint="eastAsia"/>
          <w:szCs w:val="21"/>
        </w:rPr>
        <w:t>《</w:t>
      </w:r>
      <w:r>
        <w:fldChar w:fldCharType="begin"/>
      </w:r>
      <w:r>
        <w:instrText xml:space="preserve"> HYPERLINK "http://www.szzfcg.cn/viewer.do?id=2455258" \t "documentViewer2455258" </w:instrText>
      </w:r>
      <w:r>
        <w:fldChar w:fldCharType="separate"/>
      </w:r>
      <w:r>
        <w:rPr>
          <w:rFonts w:ascii="宋体" w:hAnsi="宋体"/>
          <w:szCs w:val="21"/>
        </w:rPr>
        <w:t>供应商注册及电子密钥新申请指引</w:t>
      </w:r>
      <w:r>
        <w:fldChar w:fldCharType="end"/>
      </w:r>
      <w:r>
        <w:rPr>
          <w:rFonts w:ascii="宋体" w:hAnsi="宋体" w:hint="eastAsia"/>
          <w:szCs w:val="21"/>
        </w:rPr>
        <w:t>》详见</w:t>
      </w:r>
      <w:r>
        <w:t>http://zfcg.szggzy.com/</w:t>
      </w:r>
      <w:r>
        <w:rPr>
          <w:rFonts w:ascii="宋体" w:hAnsi="宋体" w:hint="eastAsia"/>
          <w:szCs w:val="21"/>
        </w:rPr>
        <w:t>。</w:t>
      </w:r>
    </w:p>
    <w:p>
      <w:pPr>
        <w:ind w:firstLine="470" w:firstLineChars="196"/>
        <w:rPr>
          <w:rFonts w:ascii="宋体" w:hAnsi="宋体" w:cs="宋体" w:hint="eastAsia"/>
          <w:szCs w:val="21"/>
        </w:rPr>
      </w:pPr>
      <w:r>
        <w:rPr>
          <w:rFonts w:ascii="宋体" w:hAnsi="宋体" w:cs="宋体" w:hint="eastAsia"/>
          <w:szCs w:val="21"/>
        </w:rPr>
        <w:t>5.2投标人的资格要求</w:t>
      </w:r>
    </w:p>
    <w:p>
      <w:pPr>
        <w:ind w:firstLine="470" w:firstLineChars="196"/>
        <w:rPr>
          <w:rFonts w:ascii="宋体" w:hAnsi="宋体" w:cs="宋体" w:hint="eastAsia"/>
          <w:szCs w:val="21"/>
        </w:rPr>
      </w:pPr>
      <w:r>
        <w:rPr>
          <w:rFonts w:ascii="宋体" w:hAnsi="宋体" w:cs="宋体" w:hint="eastAsia"/>
          <w:szCs w:val="21"/>
        </w:rPr>
        <w:t>参加本项目的投标人应具备的资格条件详见本项目招标公告中“投标人资格要求”的内容。</w:t>
      </w:r>
    </w:p>
    <w:p>
      <w:pPr>
        <w:ind w:firstLine="470" w:firstLineChars="196"/>
        <w:rPr>
          <w:rFonts w:ascii="宋体" w:hAnsi="宋体" w:cs="宋体" w:hint="eastAsia"/>
          <w:szCs w:val="21"/>
        </w:rPr>
      </w:pPr>
      <w:r>
        <w:rPr>
          <w:rFonts w:ascii="宋体" w:hAnsi="宋体" w:cs="宋体" w:hint="eastAsia"/>
          <w:szCs w:val="21"/>
        </w:rPr>
        <w:t>5.3联合体投标</w:t>
      </w:r>
    </w:p>
    <w:p>
      <w:pPr>
        <w:ind w:firstLine="470" w:firstLineChars="196"/>
        <w:rPr>
          <w:rFonts w:ascii="宋体" w:hAnsi="宋体" w:cs="宋体" w:hint="eastAsia"/>
          <w:szCs w:val="21"/>
        </w:rPr>
      </w:pPr>
      <w:r>
        <w:rPr>
          <w:rFonts w:ascii="宋体" w:hAnsi="宋体" w:cs="宋体" w:hint="eastAsia"/>
          <w:szCs w:val="21"/>
        </w:rPr>
        <w:t>5.3.1　以下有关联合体投标的条款仅适用于允许投标人组成联合体投标的项目。</w:t>
      </w:r>
    </w:p>
    <w:p>
      <w:pPr>
        <w:ind w:firstLine="470" w:firstLineChars="196"/>
        <w:rPr>
          <w:rFonts w:ascii="宋体" w:hAnsi="宋体" w:cs="宋体" w:hint="eastAsia"/>
          <w:szCs w:val="21"/>
        </w:rPr>
      </w:pPr>
      <w:r>
        <w:rPr>
          <w:rFonts w:ascii="宋体" w:hAnsi="宋体" w:cs="宋体" w:hint="eastAsia"/>
          <w:szCs w:val="21"/>
        </w:rPr>
        <w:t>5.3.2  由两个或两个以上的自然人、法人或者其他组织可以组成一个联合体，以一个供应商的身份共同投标时，应符合以下原则：</w:t>
      </w:r>
    </w:p>
    <w:p>
      <w:pPr>
        <w:ind w:firstLine="470" w:firstLineChars="196"/>
        <w:rPr>
          <w:rFonts w:ascii="宋体" w:hAnsi="宋体" w:cs="宋体" w:hint="eastAsia"/>
        </w:rPr>
      </w:pPr>
      <w:r>
        <w:rPr>
          <w:rFonts w:ascii="宋体" w:hAnsi="宋体" w:cs="宋体" w:hint="eastAsia"/>
        </w:rPr>
        <w:t>（1）投标联合体各方参加政府采购活动应当具备下列条件：</w:t>
      </w:r>
    </w:p>
    <w:p>
      <w:pPr>
        <w:ind w:left="480" w:firstLine="470" w:leftChars="200" w:firstLineChars="196"/>
        <w:rPr>
          <w:rFonts w:ascii="宋体" w:hAnsi="宋体" w:cs="宋体" w:hint="eastAsia"/>
        </w:rPr>
      </w:pPr>
      <w:r>
        <w:rPr>
          <w:rFonts w:ascii="宋体" w:hAnsi="宋体" w:cs="宋体" w:hint="eastAsia"/>
        </w:rPr>
        <w:t>1、具有独立承担民事责任的能力；</w:t>
      </w:r>
    </w:p>
    <w:p>
      <w:pPr>
        <w:ind w:left="420" w:firstLine="470" w:firstLineChars="196"/>
        <w:rPr>
          <w:rFonts w:ascii="宋体" w:hAnsi="宋体" w:cs="宋体" w:hint="eastAsia"/>
        </w:rPr>
      </w:pPr>
      <w:r>
        <w:rPr>
          <w:rFonts w:ascii="宋体" w:hAnsi="宋体" w:cs="宋体" w:hint="eastAsia"/>
        </w:rPr>
        <w:t>2、有良好的商业信誉和健全的财务会计制度；</w:t>
      </w:r>
    </w:p>
    <w:p>
      <w:pPr>
        <w:ind w:left="480" w:firstLine="470" w:leftChars="200" w:firstLineChars="196"/>
        <w:rPr>
          <w:rFonts w:ascii="宋体" w:hAnsi="宋体" w:cs="宋体" w:hint="eastAsia"/>
        </w:rPr>
      </w:pPr>
      <w:r>
        <w:rPr>
          <w:rFonts w:ascii="宋体" w:hAnsi="宋体" w:cs="宋体" w:hint="eastAsia"/>
        </w:rPr>
        <w:t>3、具有履行合同所必需的设备和专业技术能力；</w:t>
      </w:r>
    </w:p>
    <w:p>
      <w:pPr>
        <w:ind w:left="480" w:firstLine="470" w:leftChars="200" w:firstLineChars="196"/>
        <w:rPr>
          <w:rFonts w:ascii="宋体" w:hAnsi="宋体" w:cs="宋体" w:hint="eastAsia"/>
        </w:rPr>
      </w:pPr>
      <w:r>
        <w:rPr>
          <w:rFonts w:ascii="宋体" w:hAnsi="宋体" w:cs="宋体" w:hint="eastAsia"/>
        </w:rPr>
        <w:t>4、有依法缴纳税收和社会保障资金的良好记录；</w:t>
      </w:r>
    </w:p>
    <w:p>
      <w:pPr>
        <w:ind w:left="480" w:firstLine="470" w:leftChars="200" w:firstLineChars="196"/>
        <w:rPr>
          <w:rFonts w:ascii="宋体" w:hAnsi="宋体" w:cs="宋体" w:hint="eastAsia"/>
        </w:rPr>
      </w:pPr>
      <w:r>
        <w:rPr>
          <w:rFonts w:ascii="宋体" w:hAnsi="宋体" w:cs="宋体" w:hint="eastAsia"/>
        </w:rPr>
        <w:t>5、参加政府采购活动前三年内，在经营活动中没有重大违法记录；</w:t>
      </w:r>
    </w:p>
    <w:p>
      <w:pPr>
        <w:ind w:left="480" w:firstLine="470" w:leftChars="200" w:firstLineChars="196"/>
        <w:rPr>
          <w:rFonts w:ascii="宋体" w:hAnsi="宋体" w:cs="宋体" w:hint="eastAsia"/>
        </w:rPr>
      </w:pPr>
      <w:r>
        <w:rPr>
          <w:rFonts w:ascii="宋体" w:hAnsi="宋体" w:cs="宋体" w:hint="eastAsia"/>
        </w:rPr>
        <w:t>6、法律、行政法规规定的其他条件。</w:t>
      </w:r>
    </w:p>
    <w:p>
      <w:pPr>
        <w:ind w:firstLine="470" w:firstLineChars="196"/>
        <w:rPr>
          <w:rFonts w:ascii="宋体" w:hAnsi="宋体" w:cs="宋体" w:hint="eastAsia"/>
        </w:rPr>
      </w:pPr>
      <w:r>
        <w:rPr>
          <w:rFonts w:ascii="宋体" w:hAnsi="宋体" w:cs="宋体" w:hint="eastAsia"/>
        </w:rPr>
        <w:t>（2）投标联合体各方必须有一方先行注册成深圳市政府采购中心供应商；</w:t>
      </w:r>
    </w:p>
    <w:p>
      <w:pPr>
        <w:ind w:firstLine="470" w:firstLineChars="196"/>
        <w:rPr>
          <w:rFonts w:ascii="宋体" w:hAnsi="宋体" w:cs="宋体" w:hint="eastAsia"/>
        </w:rPr>
      </w:pPr>
      <w:r>
        <w:rPr>
          <w:rFonts w:ascii="宋体" w:hAnsi="宋体" w:cs="宋体" w:hint="eastAsia"/>
        </w:rPr>
        <w:t>（3）联合体中有同类资质的供应商按照联合体分工承担相同工作的，应当按照资质等级较低的供应商确定资质等级。</w:t>
      </w:r>
    </w:p>
    <w:p>
      <w:pPr>
        <w:ind w:firstLine="470" w:firstLineChars="196"/>
        <w:rPr>
          <w:rFonts w:ascii="宋体" w:hAnsi="宋体" w:cs="宋体" w:hint="eastAsia"/>
        </w:rPr>
      </w:pPr>
      <w:r>
        <w:rPr>
          <w:rFonts w:ascii="宋体" w:hAnsi="宋体" w:cs="宋体" w:hint="eastAsia"/>
        </w:rPr>
        <w:t>（4）是否允许联合体参加投标，应当由采购人和采购代理机构根据项目的实际情况和潜在供应商的数量自主决定，如果决定接受联合体投标则应当在采购公告中明示。</w:t>
      </w:r>
    </w:p>
    <w:p>
      <w:pPr>
        <w:ind w:firstLine="470" w:firstLineChars="196"/>
        <w:rPr>
          <w:rFonts w:ascii="宋体" w:hAnsi="宋体" w:cs="宋体" w:hint="eastAsia"/>
        </w:rPr>
      </w:pPr>
      <w:r>
        <w:rPr>
          <w:rFonts w:ascii="宋体" w:hAnsi="宋体" w:cs="宋体" w:hint="eastAsia"/>
        </w:rPr>
        <w:t>（5）采购人根据采购项目的特殊要求规定投标人特定条件的，联合体各方中至少应当有一方符合采购人规定的特定条件。对于招标公告对投标人某一资格有要求的，按照联合体各方中最低资质等级确定联合体的资质等级；联合体各方的不同资质可优势互补。</w:t>
      </w:r>
    </w:p>
    <w:p>
      <w:pPr>
        <w:ind w:firstLine="470" w:firstLineChars="196"/>
        <w:rPr>
          <w:rFonts w:ascii="宋体" w:hAnsi="宋体" w:cs="宋体" w:hint="eastAsia"/>
        </w:rPr>
      </w:pPr>
      <w:r>
        <w:rPr>
          <w:rFonts w:ascii="宋体" w:hAnsi="宋体" w:cs="宋体" w:hint="eastAsia"/>
        </w:rPr>
        <w:t>（6）投标人的投标文件及中标后签署的合同协议对联合体各方均具法律约束力；</w:t>
      </w:r>
    </w:p>
    <w:p>
      <w:pPr>
        <w:ind w:firstLine="470" w:firstLineChars="196"/>
        <w:rPr>
          <w:rFonts w:ascii="宋体" w:hAnsi="宋体" w:cs="宋体" w:hint="eastAsia"/>
        </w:rPr>
      </w:pPr>
      <w:r>
        <w:rPr>
          <w:rFonts w:ascii="宋体" w:hAnsi="宋体" w:cs="宋体" w:hint="eastAsia"/>
        </w:rPr>
        <w:t>（7）联合体各方应当签订共同投标协议，明确约定各方拟承担的工作和责任，并将该共同投标协议随投标文件一并递交给采购代理机构；</w:t>
      </w:r>
    </w:p>
    <w:p>
      <w:pPr>
        <w:ind w:firstLine="470" w:firstLineChars="196"/>
        <w:rPr>
          <w:rFonts w:ascii="宋体" w:hAnsi="宋体" w:cs="宋体" w:hint="eastAsia"/>
        </w:rPr>
      </w:pPr>
      <w:r>
        <w:rPr>
          <w:rFonts w:ascii="宋体" w:hAnsi="宋体" w:cs="宋体" w:hint="eastAsia"/>
        </w:rPr>
        <w:t>（8）联合体中标后，联合体各方应当共同与采购人签订合同，就中标项目向采购人承担连带责任；</w:t>
      </w:r>
    </w:p>
    <w:p>
      <w:pPr>
        <w:ind w:firstLine="470" w:firstLineChars="196"/>
        <w:rPr>
          <w:rFonts w:ascii="宋体" w:hAnsi="宋体" w:cs="宋体" w:hint="eastAsia"/>
        </w:rPr>
      </w:pPr>
      <w:r>
        <w:rPr>
          <w:rFonts w:ascii="宋体" w:hAnsi="宋体" w:cs="宋体" w:hint="eastAsia"/>
        </w:rPr>
        <w:t>（9）联合体的各方应当共同推荐一联合体投标授权代表方，由联合体各方提交一份授权书，证明其有资格代表联合体各方签署投标文件，该授权书作为投标文件的组成部分一并递交给采购代理机构；</w:t>
      </w:r>
    </w:p>
    <w:p>
      <w:pPr>
        <w:ind w:firstLine="470" w:firstLineChars="196"/>
        <w:rPr>
          <w:rFonts w:ascii="宋体" w:hAnsi="宋体" w:cs="宋体" w:hint="eastAsia"/>
        </w:rPr>
      </w:pPr>
      <w:r>
        <w:rPr>
          <w:rFonts w:ascii="宋体" w:hAnsi="宋体" w:cs="宋体" w:hint="eastAsia"/>
        </w:rPr>
        <w:t>（10）以联合体形式参加政府采购活动的，联合体各方不得再单独参加或者与其他供应商另外组成联合体参加同一合同项下的政府采购活动，出现上述情况者，其投标和与此有关联合体、总包单位的投标将被拒绝；</w:t>
      </w:r>
    </w:p>
    <w:p>
      <w:pPr>
        <w:ind w:firstLine="470" w:firstLineChars="196"/>
        <w:rPr>
          <w:rFonts w:ascii="宋体" w:hAnsi="宋体" w:cs="宋体" w:hint="eastAsia"/>
          <w:szCs w:val="21"/>
        </w:rPr>
      </w:pPr>
      <w:r>
        <w:rPr>
          <w:rFonts w:ascii="宋体" w:hAnsi="宋体" w:cs="宋体" w:hint="eastAsia"/>
        </w:rPr>
        <w:t>（11）本通用条款中“投标人”一词亦指联合体各方，专用条款另有规定或说明的除外。</w:t>
      </w:r>
    </w:p>
    <w:p>
      <w:pPr>
        <w:rPr>
          <w:rFonts w:ascii="宋体" w:hAnsi="宋体" w:cs="宋体" w:hint="eastAsia"/>
          <w:sz w:val="24"/>
        </w:rPr>
      </w:pPr>
      <w:r>
        <w:rPr>
          <w:rFonts w:ascii="宋体" w:hAnsi="宋体" w:cs="宋体" w:hint="eastAsia"/>
          <w:sz w:val="24"/>
        </w:rPr>
        <w:t>6．政策导向</w:t>
      </w:r>
    </w:p>
    <w:p>
      <w:pPr>
        <w:snapToGrid w:val="0"/>
        <w:ind w:firstLine="360" w:firstLineChars="150"/>
        <w:rPr>
          <w:rFonts w:ascii="宋体" w:hAnsi="宋体" w:cs="宋体" w:hint="eastAsia"/>
          <w:bCs/>
          <w:szCs w:val="21"/>
        </w:rPr>
      </w:pPr>
      <w:r>
        <w:rPr>
          <w:rFonts w:ascii="宋体" w:hAnsi="宋体" w:cs="宋体" w:hint="eastAsia"/>
          <w:bCs/>
          <w:szCs w:val="21"/>
        </w:rPr>
        <w:t>6.1按照《国务院办公厅关于建立政府强制采购节能产品制度的通知》（国办发〔2007〕51号）、《财政部、环保总局关于环境标志产品政府采购实施的意见》（财库[2006]90号）、《中共深圳市委、深圳市人民政府关于全面推进循环经济发展的决定》（深发〔2006〕9号）根据《财政部发展改革委生态环境部市场监管总局关于调整优化节能产品环境标志产品政府采购执行机制的通知》（财库〔2019〕9号）等的要求，以下产品列入</w:t>
      </w:r>
      <w:r>
        <w:rPr>
          <w:rFonts w:ascii="宋体" w:hAnsi="宋体" w:cs="宋体" w:hint="eastAsia"/>
        </w:rPr>
        <w:fldChar w:fldCharType="begin"/>
      </w:r>
      <w:r>
        <w:rPr>
          <w:rFonts w:ascii="宋体" w:hAnsi="宋体" w:cs="宋体" w:hint="eastAsia"/>
        </w:rPr>
        <w:instrText>HYPERLINK "http://gks.mof.gov.cn/zhengfucaigouguanli/201904/P020190404409422168443.pdf"</w:instrText>
      </w:r>
      <w:r>
        <w:rPr>
          <w:rFonts w:ascii="宋体" w:hAnsi="宋体" w:cs="宋体" w:hint="eastAsia"/>
        </w:rPr>
        <w:fldChar w:fldCharType="separate"/>
      </w:r>
      <w:r>
        <w:rPr>
          <w:rFonts w:ascii="宋体" w:hAnsi="宋体" w:cs="宋体" w:hint="eastAsia"/>
          <w:bCs/>
          <w:szCs w:val="21"/>
        </w:rPr>
        <w:t>节能产品政府采购品目清单</w:t>
      </w:r>
      <w:r>
        <w:rPr>
          <w:rFonts w:ascii="宋体" w:hAnsi="宋体" w:cs="宋体" w:hint="eastAsia"/>
        </w:rPr>
        <w:fldChar w:fldCharType="end"/>
      </w:r>
      <w:r>
        <w:rPr>
          <w:rFonts w:ascii="宋体" w:hAnsi="宋体" w:cs="宋体" w:hint="eastAsia"/>
          <w:bCs/>
          <w:szCs w:val="21"/>
        </w:rPr>
        <w:t>，我市政府采购组织实施中，在技术、服务等指标满足采购需求的前提下，优先采购以下清单范围内产品：</w:t>
      </w:r>
    </w:p>
    <w:p>
      <w:pPr>
        <w:snapToGrid w:val="0"/>
        <w:ind w:firstLine="360" w:firstLineChars="150"/>
        <w:rPr>
          <w:rFonts w:ascii="宋体" w:hAnsi="宋体" w:cs="宋体" w:hint="eastAsia"/>
          <w:bCs/>
          <w:szCs w:val="21"/>
        </w:rPr>
      </w:pPr>
      <w:r>
        <w:rPr>
          <w:rFonts w:ascii="宋体" w:hAnsi="宋体" w:cs="宋体" w:hint="eastAsia"/>
          <w:bCs/>
          <w:szCs w:val="21"/>
        </w:rPr>
        <w:t>财政部、国家发展和改革委员会制定的《</w:t>
      </w:r>
      <w:r>
        <w:rPr>
          <w:rFonts w:ascii="宋体" w:hAnsi="宋体" w:cs="宋体" w:hint="eastAsia"/>
        </w:rPr>
        <w:fldChar w:fldCharType="begin"/>
      </w:r>
      <w:r>
        <w:rPr>
          <w:rFonts w:ascii="宋体" w:hAnsi="宋体" w:cs="宋体" w:hint="eastAsia"/>
        </w:rPr>
        <w:instrText>HYPERLINK "http://gks.mof.gov.cn/zhengfucaigouguanli/201904/P020190404409422168443.pdf"</w:instrText>
      </w:r>
      <w:r>
        <w:rPr>
          <w:rFonts w:ascii="宋体" w:hAnsi="宋体" w:cs="宋体" w:hint="eastAsia"/>
        </w:rPr>
        <w:fldChar w:fldCharType="separate"/>
      </w:r>
      <w:r>
        <w:rPr>
          <w:rFonts w:ascii="宋体" w:hAnsi="宋体" w:cs="宋体" w:hint="eastAsia"/>
          <w:bCs/>
          <w:szCs w:val="21"/>
        </w:rPr>
        <w:t>节能产品政府采购品目清单</w:t>
      </w:r>
      <w:r>
        <w:rPr>
          <w:rFonts w:ascii="宋体" w:hAnsi="宋体" w:cs="宋体" w:hint="eastAsia"/>
        </w:rPr>
        <w:fldChar w:fldCharType="end"/>
      </w:r>
      <w:r>
        <w:rPr>
          <w:rFonts w:ascii="宋体" w:hAnsi="宋体" w:cs="宋体" w:hint="eastAsia"/>
          <w:bCs/>
          <w:szCs w:val="21"/>
        </w:rPr>
        <w:t>》，详见中国政府采购网（http://www.ccgp.gov.cn/）首页。</w:t>
      </w:r>
    </w:p>
    <w:p>
      <w:pPr>
        <w:snapToGrid w:val="0"/>
        <w:ind w:firstLine="360" w:firstLineChars="150"/>
        <w:rPr>
          <w:rFonts w:ascii="宋体" w:hAnsi="宋体" w:cs="宋体" w:hint="eastAsia"/>
          <w:bCs/>
          <w:szCs w:val="21"/>
        </w:rPr>
      </w:pPr>
      <w:r>
        <w:rPr>
          <w:rFonts w:ascii="宋体" w:hAnsi="宋体" w:cs="宋体" w:hint="eastAsia"/>
          <w:bCs/>
          <w:szCs w:val="21"/>
        </w:rPr>
        <w:t>进入以上清单范围的投标产品将在评标时获得竞争优势。</w:t>
      </w:r>
    </w:p>
    <w:p>
      <w:pPr>
        <w:snapToGrid w:val="0"/>
        <w:ind w:firstLine="360" w:firstLineChars="150"/>
        <w:rPr>
          <w:rFonts w:ascii="宋体" w:hAnsi="宋体" w:cs="宋体" w:hint="eastAsia"/>
          <w:bCs/>
          <w:szCs w:val="21"/>
        </w:rPr>
      </w:pPr>
      <w:r>
        <w:rPr>
          <w:rFonts w:ascii="宋体" w:hAnsi="宋体" w:cs="宋体" w:hint="eastAsia"/>
          <w:bCs/>
          <w:szCs w:val="21"/>
        </w:rPr>
        <w:t>6.2 2014年起，政府部门、国有企业在进行设备或工程采购时，应在招标文件中明确要求工程机械、装卸机械满足国家现阶段非道路移动机械用柴油机排放标准，并鼓励使用LNG或电动工程机械、装卸机械。2015年起，政府部门、国有企业采购设备或工程项目中选用LNG或电动工程机械、装卸机械的比例不低于30%。</w:t>
      </w:r>
    </w:p>
    <w:p>
      <w:pPr>
        <w:snapToGrid w:val="0"/>
        <w:ind w:firstLine="405"/>
        <w:rPr>
          <w:rFonts w:ascii="宋体" w:hAnsi="宋体" w:cs="宋体" w:hint="eastAsia"/>
          <w:shd w:val="clear" w:color="auto" w:fill="FFFFFF"/>
        </w:rPr>
      </w:pPr>
      <w:r>
        <w:rPr>
          <w:rFonts w:ascii="宋体" w:hAnsi="宋体" w:cs="宋体" w:hint="eastAsia"/>
          <w:shd w:val="clear" w:color="auto" w:fill="FFFFFF"/>
        </w:rPr>
        <w:t>6.3</w:t>
      </w:r>
      <w:r>
        <w:rPr>
          <w:rFonts w:ascii="宋体" w:hAnsi="宋体" w:cs="宋体" w:hint="eastAsia"/>
        </w:rPr>
        <w:t>根据《深圳市人民政府关于印发深圳市贯彻落实守信联合激励和失信联合惩戒制度实施方案的通知》（深府〔2017〕57号）、《深圳市政府采购供应商诚信管理暂行办法》（深财规〔2017〕8号）以及《深圳市财政局员会关于印发&lt;深圳市政府采购供应商诚信管理暂行办法操作细则&gt;的通知》的要求，对列入失信“黑名单”的供应商限制参与政府采购。</w:t>
      </w:r>
    </w:p>
    <w:p>
      <w:pPr>
        <w:rPr>
          <w:rFonts w:ascii="宋体" w:hAnsi="宋体" w:cs="宋体" w:hint="eastAsia"/>
          <w:sz w:val="24"/>
        </w:rPr>
      </w:pPr>
      <w:r>
        <w:rPr>
          <w:rFonts w:ascii="宋体" w:hAnsi="宋体" w:cs="宋体" w:hint="eastAsia"/>
          <w:sz w:val="24"/>
        </w:rPr>
        <w:t>7.本项目若涉及采购货物，则合格的货物及相应服务应满足以下要求：</w:t>
      </w:r>
    </w:p>
    <w:p>
      <w:pPr>
        <w:ind w:firstLine="470" w:firstLineChars="196"/>
        <w:rPr>
          <w:rFonts w:ascii="宋体" w:hAnsi="宋体" w:cs="宋体" w:hint="eastAsia"/>
        </w:rPr>
      </w:pPr>
      <w:r>
        <w:rPr>
          <w:rFonts w:ascii="宋体" w:hAnsi="宋体" w:cs="宋体" w:hint="eastAsia"/>
        </w:rPr>
        <w:t>7.1  必须是全新、未使用过的原装合格正品（包括零部件），如安装或配置了软件的，须为正版软件。</w:t>
      </w:r>
    </w:p>
    <w:p>
      <w:pPr>
        <w:ind w:firstLine="470" w:firstLineChars="196"/>
        <w:rPr>
          <w:rFonts w:ascii="宋体" w:hAnsi="宋体" w:cs="宋体" w:hint="eastAsia"/>
        </w:rPr>
      </w:pPr>
      <w:r>
        <w:rPr>
          <w:rFonts w:ascii="宋体" w:hAnsi="宋体" w:cs="宋体" w:hint="eastAsia"/>
        </w:rPr>
        <w:t>7.2  国产的货物及其有关服务必须符合中华人民共和国的设计和制造生产标准或行业标准。招标公告有其他要求的，亦应符合其要求。</w:t>
      </w:r>
    </w:p>
    <w:p>
      <w:pPr>
        <w:ind w:firstLine="470" w:firstLineChars="196"/>
        <w:rPr>
          <w:rFonts w:ascii="宋体" w:hAnsi="宋体" w:cs="宋体" w:hint="eastAsia"/>
        </w:rPr>
      </w:pPr>
      <w:r>
        <w:rPr>
          <w:rFonts w:ascii="宋体" w:hAnsi="宋体" w:cs="宋体" w:hint="eastAsia"/>
        </w:rPr>
        <w:t>7.3进口货物及其有关服务必须符合原产地和/或中华人民共和国的设计和制造生产标准或行业标准。进口的货物必须具有合法的进口手续和途径，并通过中华人民共和国商检部门检验。招标公告有其他要求的，亦应符合其要求。</w:t>
      </w:r>
    </w:p>
    <w:p>
      <w:pPr>
        <w:ind w:firstLine="470" w:firstLineChars="196"/>
        <w:rPr>
          <w:rFonts w:ascii="宋体" w:hAnsi="宋体" w:cs="宋体" w:hint="eastAsia"/>
        </w:rPr>
      </w:pPr>
      <w:r>
        <w:rPr>
          <w:rFonts w:ascii="宋体" w:hAnsi="宋体" w:cs="宋体" w:hint="eastAsia"/>
        </w:rPr>
        <w:t>7.4投标人应保证，其所提供的货物在提供给采购人前具有完全的所有权，采购人在中华人民共和国使用该货物或货物的任何一部分时，不会产生因第三方提出的包括但不限于侵犯其专利权、商标权、工业设计权等知识产权和侵犯其所有权、抵押权等物权及其他权利而引发的纠纷。如有纠纷，投标人应承担全部责任。</w:t>
      </w:r>
    </w:p>
    <w:p>
      <w:pPr>
        <w:ind w:firstLine="470" w:firstLineChars="196"/>
        <w:rPr>
          <w:rFonts w:ascii="宋体" w:hAnsi="宋体" w:cs="宋体" w:hint="eastAsia"/>
        </w:rPr>
      </w:pPr>
      <w:r>
        <w:rPr>
          <w:rFonts w:ascii="宋体" w:hAnsi="宋体" w:cs="宋体" w:hint="eastAsia"/>
        </w:rPr>
        <w:t>7.5  投标人应保证，其所提供的货物应具有行政主管部门颁发的资质证书或国家质量监督部门的产品《检验报告》。设备到货验收时，还必须提供设备的产品合格证、质量保证文件。若中标后，除非另有约定，投标人必须按合同规定完成设备的安装，并达到验收标准。</w:t>
      </w:r>
    </w:p>
    <w:p>
      <w:pPr>
        <w:ind w:firstLine="470" w:firstLineChars="196"/>
        <w:rPr>
          <w:rFonts w:ascii="宋体" w:hAnsi="宋体" w:cs="宋体" w:hint="eastAsia"/>
        </w:rPr>
      </w:pPr>
      <w:r>
        <w:rPr>
          <w:rFonts w:ascii="宋体" w:hAnsi="宋体" w:cs="宋体" w:hint="eastAsia"/>
        </w:rPr>
        <w:t>7.6  对工期的要求：投标人在投标时对其所投项目应提交详细的《交货进度表》，列明交货计划等，在合同规定的时间内完工验收。</w:t>
      </w:r>
    </w:p>
    <w:p>
      <w:pPr>
        <w:ind w:firstLine="470" w:firstLineChars="196"/>
        <w:rPr>
          <w:rFonts w:ascii="宋体" w:hAnsi="宋体" w:cs="宋体" w:hint="eastAsia"/>
        </w:rPr>
      </w:pPr>
      <w:r>
        <w:rPr>
          <w:rFonts w:ascii="宋体" w:hAnsi="宋体" w:cs="宋体" w:hint="eastAsia"/>
        </w:rPr>
        <w:t>7.7  投标人必须承担的设备运输、安装调试、验收检测和提供设备操作说明书、图纸等其他相关及类似的义务。</w:t>
      </w:r>
    </w:p>
    <w:p>
      <w:pPr>
        <w:rPr>
          <w:rFonts w:ascii="宋体" w:hAnsi="宋体" w:cs="宋体" w:hint="eastAsia"/>
          <w:sz w:val="24"/>
        </w:rPr>
      </w:pPr>
      <w:r>
        <w:rPr>
          <w:rFonts w:ascii="宋体" w:hAnsi="宋体" w:cs="宋体" w:hint="eastAsia"/>
          <w:sz w:val="24"/>
        </w:rPr>
        <w:t>8．投标费用</w:t>
      </w:r>
    </w:p>
    <w:p>
      <w:pPr>
        <w:ind w:firstLine="470" w:firstLineChars="196"/>
        <w:rPr>
          <w:rFonts w:ascii="宋体" w:hAnsi="宋体" w:cs="宋体" w:hint="eastAsia"/>
          <w:szCs w:val="21"/>
        </w:rPr>
      </w:pPr>
      <w:r>
        <w:rPr>
          <w:rFonts w:ascii="宋体" w:hAnsi="宋体" w:cs="宋体" w:hint="eastAsia"/>
          <w:szCs w:val="21"/>
        </w:rPr>
        <w:t>不论投标结果如何，投标人应承担其编制投标文件与递交投标文件所涉及的一切费用。</w:t>
      </w:r>
    </w:p>
    <w:p>
      <w:pPr>
        <w:rPr>
          <w:rFonts w:ascii="宋体" w:hAnsi="宋体" w:cs="宋体" w:hint="eastAsia"/>
          <w:sz w:val="24"/>
        </w:rPr>
      </w:pPr>
      <w:r>
        <w:rPr>
          <w:rFonts w:ascii="宋体" w:hAnsi="宋体" w:cs="宋体" w:hint="eastAsia"/>
          <w:sz w:val="24"/>
        </w:rPr>
        <w:t>9．踏勘现场</w:t>
      </w:r>
    </w:p>
    <w:p>
      <w:pPr>
        <w:ind w:firstLine="470" w:firstLineChars="196"/>
        <w:rPr>
          <w:rFonts w:ascii="宋体" w:hAnsi="宋体" w:cs="宋体" w:hint="eastAsia"/>
          <w:szCs w:val="21"/>
        </w:rPr>
      </w:pPr>
      <w:r>
        <w:rPr>
          <w:rFonts w:ascii="宋体" w:hAnsi="宋体" w:cs="宋体" w:hint="eastAsia"/>
          <w:szCs w:val="21"/>
        </w:rPr>
        <w:t>9.1如有需要（详见专用条款），采购代理机构或采购人将组织投标人对项目现场及周围环境进行踏勘，以便投标人获取有关编制投标文件和签署合同所需的资料。踏勘现场所发生的费用由投标人自行承担。投标人应按</w:t>
      </w:r>
      <w:r>
        <w:rPr>
          <w:rFonts w:ascii="宋体" w:hAnsi="宋体" w:cs="宋体" w:hint="eastAsia"/>
        </w:rPr>
        <w:t>招标文件专用条款</w:t>
      </w:r>
      <w:r>
        <w:rPr>
          <w:rFonts w:ascii="宋体" w:hAnsi="宋体" w:cs="宋体" w:hint="eastAsia"/>
          <w:szCs w:val="21"/>
        </w:rPr>
        <w:t>所约定的时间或采购代理机构另行书面通知（包括网站发布的通知）的时间和地点踏勘现场。</w:t>
      </w:r>
    </w:p>
    <w:p>
      <w:pPr>
        <w:ind w:firstLine="470" w:firstLineChars="196"/>
        <w:rPr>
          <w:rFonts w:ascii="宋体" w:hAnsi="宋体" w:cs="宋体" w:hint="eastAsia"/>
        </w:rPr>
      </w:pPr>
      <w:r>
        <w:rPr>
          <w:rFonts w:ascii="宋体" w:hAnsi="宋体" w:cs="宋体" w:hint="eastAsia"/>
        </w:rPr>
        <w:t>9.2投标人及其人员经过采购人的允许，可以踏勘目的进入采购人的项目现场。若招标文件要求投标人于统一时间地点踏勘现场的，投标人应当按时前往。</w:t>
      </w:r>
    </w:p>
    <w:p>
      <w:pPr>
        <w:ind w:firstLine="470" w:firstLineChars="196"/>
        <w:rPr>
          <w:rFonts w:ascii="宋体" w:hAnsi="宋体" w:cs="宋体" w:hint="eastAsia"/>
        </w:rPr>
      </w:pPr>
      <w:r>
        <w:rPr>
          <w:rFonts w:ascii="宋体" w:hAnsi="宋体" w:cs="宋体" w:hint="eastAsia"/>
        </w:rPr>
        <w:t>9.3采购人必须通过</w:t>
      </w:r>
      <w:r>
        <w:rPr>
          <w:rFonts w:ascii="宋体" w:hAnsi="宋体" w:cs="宋体" w:hint="eastAsia"/>
          <w:szCs w:val="21"/>
        </w:rPr>
        <w:t>采购代理机构</w:t>
      </w:r>
      <w:r>
        <w:rPr>
          <w:rFonts w:ascii="宋体" w:hAnsi="宋体" w:cs="宋体" w:hint="eastAsia"/>
        </w:rPr>
        <w:t>向投标人提供有关现场的资料和数据。</w:t>
      </w:r>
    </w:p>
    <w:p>
      <w:pPr>
        <w:ind w:firstLine="470" w:firstLineChars="196"/>
        <w:rPr>
          <w:rFonts w:ascii="宋体" w:hAnsi="宋体" w:cs="宋体" w:hint="eastAsia"/>
        </w:rPr>
      </w:pPr>
      <w:r>
        <w:rPr>
          <w:rFonts w:ascii="宋体" w:hAnsi="宋体" w:cs="宋体" w:hint="eastAsia"/>
        </w:rPr>
        <w:t>9.4任何人或任何组织在踏勘现场时向投标人提交的任何书面资料或口头承诺，未经</w:t>
      </w:r>
      <w:r>
        <w:rPr>
          <w:rFonts w:ascii="宋体" w:hAnsi="宋体" w:cs="宋体" w:hint="eastAsia"/>
          <w:szCs w:val="21"/>
        </w:rPr>
        <w:t>采购代理机构</w:t>
      </w:r>
      <w:r>
        <w:rPr>
          <w:rFonts w:ascii="宋体" w:hAnsi="宋体" w:cs="宋体" w:hint="eastAsia"/>
        </w:rPr>
        <w:t>在网上发布或书面通知，均作无效处理。</w:t>
      </w:r>
    </w:p>
    <w:p>
      <w:pPr>
        <w:rPr>
          <w:rFonts w:ascii="宋体" w:hAnsi="宋体" w:cs="宋体" w:hint="eastAsia"/>
          <w:sz w:val="24"/>
        </w:rPr>
      </w:pPr>
      <w:r>
        <w:rPr>
          <w:rFonts w:ascii="宋体" w:hAnsi="宋体" w:cs="宋体" w:hint="eastAsia"/>
          <w:sz w:val="24"/>
        </w:rPr>
        <w:t>10．招标答疑</w:t>
      </w:r>
    </w:p>
    <w:p>
      <w:pPr>
        <w:ind w:firstLine="470" w:firstLineChars="196"/>
        <w:rPr>
          <w:rFonts w:ascii="宋体" w:hAnsi="宋体" w:cs="宋体" w:hint="eastAsia"/>
          <w:szCs w:val="21"/>
        </w:rPr>
      </w:pPr>
      <w:r>
        <w:rPr>
          <w:rFonts w:ascii="宋体" w:hAnsi="宋体" w:cs="宋体" w:hint="eastAsia"/>
          <w:szCs w:val="21"/>
        </w:rPr>
        <w:t>10.1招标答疑的目的是澄清、解答投标人在查阅招标文件后或现场踏勘中可能提出的与投标有关的疑问或询问。</w:t>
      </w:r>
    </w:p>
    <w:p>
      <w:pPr>
        <w:ind w:firstLine="470" w:firstLineChars="196"/>
        <w:rPr>
          <w:rFonts w:ascii="宋体" w:hAnsi="宋体" w:cs="宋体" w:hint="eastAsia"/>
          <w:szCs w:val="21"/>
        </w:rPr>
      </w:pPr>
      <w:r>
        <w:rPr>
          <w:rFonts w:ascii="宋体" w:hAnsi="宋体" w:cs="宋体" w:hint="eastAsia"/>
          <w:szCs w:val="21"/>
        </w:rPr>
        <w:t>10.2投标人如对招标文件内容有疑问，必须在招标文件规定的答疑截止时间前以网上提问形式提交采购代理机构。</w:t>
      </w:r>
    </w:p>
    <w:p>
      <w:pPr>
        <w:ind w:firstLine="470" w:firstLineChars="196"/>
        <w:rPr>
          <w:rFonts w:ascii="宋体" w:hAnsi="宋体" w:cs="宋体" w:hint="eastAsia"/>
          <w:szCs w:val="21"/>
        </w:rPr>
      </w:pPr>
      <w:r>
        <w:rPr>
          <w:rFonts w:ascii="宋体" w:hAnsi="宋体" w:cs="宋体" w:hint="eastAsia"/>
          <w:szCs w:val="21"/>
        </w:rPr>
        <w:t>10.3采购代理机构对疑问所做出的澄清和解答，以书面答复（包括网站发布信息）为准。答疑纪要的有效性规定按照本通用条款第13.3、13.4款规定执行。</w:t>
      </w:r>
    </w:p>
    <w:p>
      <w:pPr>
        <w:ind w:firstLine="470" w:firstLineChars="196"/>
        <w:rPr>
          <w:rFonts w:ascii="宋体" w:hAnsi="宋体" w:cs="宋体" w:hint="eastAsia"/>
          <w:szCs w:val="21"/>
        </w:rPr>
      </w:pPr>
      <w:r>
        <w:rPr>
          <w:rFonts w:ascii="宋体" w:hAnsi="宋体" w:cs="宋体" w:hint="eastAsia"/>
          <w:szCs w:val="21"/>
        </w:rPr>
        <w:t>10.4</w:t>
      </w:r>
      <w:r>
        <w:rPr>
          <w:rFonts w:ascii="宋体" w:hAnsi="宋体" w:cs="宋体" w:hint="eastAsia"/>
        </w:rPr>
        <w:t>投标人应该在法定质疑期内一次性提出针对同一采购程序环节的质疑，否则采购代理机构有权拒收。</w:t>
      </w:r>
    </w:p>
    <w:p>
      <w:pPr>
        <w:ind w:firstLine="470" w:firstLineChars="196"/>
        <w:rPr>
          <w:rFonts w:ascii="宋体" w:hAnsi="宋体" w:cs="宋体" w:hint="eastAsia"/>
          <w:szCs w:val="21"/>
        </w:rPr>
      </w:pPr>
      <w:r>
        <w:rPr>
          <w:rFonts w:ascii="宋体" w:hAnsi="宋体" w:cs="宋体" w:hint="eastAsia"/>
          <w:szCs w:val="21"/>
        </w:rPr>
        <w:t>10.5如采购人认为有必要组织现场答疑会，投标人应按照招标文件规定的时间或采购代理机构另行书面通知（包括网站发布的通知）的时间和地点，参与现场答疑会。</w:t>
      </w:r>
    </w:p>
    <w:p>
      <w:pPr>
        <w:ind w:firstLine="470" w:firstLineChars="196"/>
        <w:rPr>
          <w:rFonts w:ascii="宋体" w:hAnsi="宋体" w:cs="宋体" w:hint="eastAsia"/>
          <w:szCs w:val="21"/>
        </w:rPr>
      </w:pPr>
      <w:r>
        <w:rPr>
          <w:rFonts w:ascii="宋体" w:hAnsi="宋体" w:cs="宋体" w:hint="eastAsia"/>
          <w:szCs w:val="21"/>
        </w:rPr>
        <w:t>10.6未参与招标答疑不作为否定投标人资格的理由。</w:t>
      </w:r>
    </w:p>
    <w:p>
      <w:pPr>
        <w:rPr>
          <w:rFonts w:ascii="宋体" w:hAnsi="宋体" w:cs="宋体" w:hint="eastAsia"/>
          <w:sz w:val="28"/>
          <w:szCs w:val="28"/>
        </w:rPr>
      </w:pPr>
      <w:r>
        <w:rPr>
          <w:rFonts w:ascii="宋体" w:hAnsi="宋体" w:cs="宋体" w:hint="eastAsia"/>
          <w:sz w:val="28"/>
          <w:szCs w:val="28"/>
        </w:rPr>
        <w:br w:type="page"/>
      </w:r>
    </w:p>
    <w:p>
      <w:pPr>
        <w:pStyle w:val="Heading2"/>
        <w:numPr>
          <w:ilvl w:val="0"/>
          <w:numId w:val="6"/>
        </w:numPr>
        <w:tabs>
          <w:tab w:val="left" w:pos="720"/>
        </w:tabs>
        <w:spacing w:before="120" w:beforeLines="50" w:after="120" w:afterLines="50"/>
        <w:rPr>
          <w:rFonts w:cs="宋体" w:hint="eastAsia"/>
          <w:b w:val="0"/>
          <w:bCs w:val="0"/>
          <w:sz w:val="28"/>
          <w:szCs w:val="28"/>
        </w:rPr>
      </w:pPr>
      <w:r>
        <w:rPr>
          <w:rFonts w:cs="宋体" w:hint="eastAsia"/>
          <w:b w:val="0"/>
          <w:bCs w:val="0"/>
          <w:sz w:val="28"/>
          <w:szCs w:val="28"/>
        </w:rPr>
        <w:t>招标文件</w:t>
      </w:r>
    </w:p>
    <w:p>
      <w:pPr>
        <w:rPr>
          <w:rFonts w:ascii="宋体" w:hAnsi="宋体" w:cs="宋体" w:hint="eastAsia"/>
          <w:sz w:val="24"/>
        </w:rPr>
      </w:pPr>
      <w:r>
        <w:rPr>
          <w:rFonts w:ascii="宋体" w:hAnsi="宋体" w:cs="宋体" w:hint="eastAsia"/>
          <w:sz w:val="24"/>
        </w:rPr>
        <w:t>11．招标文件的编制与组成</w:t>
      </w:r>
    </w:p>
    <w:p>
      <w:pPr>
        <w:snapToGrid w:val="0"/>
        <w:ind w:firstLine="480" w:firstLineChars="200"/>
        <w:rPr>
          <w:rFonts w:ascii="宋体" w:hAnsi="宋体" w:cs="宋体" w:hint="eastAsia"/>
          <w:szCs w:val="21"/>
        </w:rPr>
      </w:pPr>
      <w:r>
        <w:rPr>
          <w:rFonts w:ascii="宋体" w:hAnsi="宋体" w:cs="宋体" w:hint="eastAsia"/>
          <w:szCs w:val="21"/>
        </w:rPr>
        <w:t>11.1招标文件除以下内容外，采购代理机构在招标（或谈判）期间发出的答疑纪要和其他补充修改函件，均是招标文件的组成部分，对投标人起约束作用；</w:t>
      </w:r>
    </w:p>
    <w:p>
      <w:pPr>
        <w:ind w:firstLine="470" w:firstLineChars="196"/>
        <w:rPr>
          <w:rFonts w:ascii="宋体" w:hAnsi="宋体" w:cs="宋体" w:hint="eastAsia"/>
          <w:szCs w:val="21"/>
        </w:rPr>
      </w:pPr>
      <w:r>
        <w:rPr>
          <w:rFonts w:ascii="宋体" w:hAnsi="宋体" w:cs="宋体" w:hint="eastAsia"/>
          <w:szCs w:val="21"/>
        </w:rPr>
        <w:t>招标文件包括下列内容：</w:t>
      </w:r>
    </w:p>
    <w:p>
      <w:pPr>
        <w:ind w:left="480" w:firstLine="470" w:leftChars="200" w:firstLineChars="196"/>
        <w:rPr>
          <w:rFonts w:ascii="宋体" w:hAnsi="宋体" w:cs="宋体" w:hint="eastAsia"/>
          <w:b/>
          <w:szCs w:val="21"/>
        </w:rPr>
      </w:pPr>
      <w:r>
        <w:rPr>
          <w:rFonts w:ascii="宋体" w:hAnsi="宋体" w:cs="宋体" w:hint="eastAsia"/>
          <w:b/>
          <w:szCs w:val="21"/>
        </w:rPr>
        <w:t>第一册专用条款</w:t>
      </w:r>
    </w:p>
    <w:p>
      <w:pPr>
        <w:ind w:left="1234" w:leftChars="514"/>
        <w:rPr>
          <w:rFonts w:ascii="宋体" w:hAnsi="宋体" w:cs="宋体" w:hint="eastAsia"/>
          <w:b/>
          <w:szCs w:val="21"/>
        </w:rPr>
      </w:pPr>
      <w:r>
        <w:rPr>
          <w:rFonts w:ascii="宋体" w:hAnsi="宋体" w:cs="宋体" w:hint="eastAsia"/>
          <w:b/>
          <w:szCs w:val="21"/>
        </w:rPr>
        <w:t>关键信息</w:t>
      </w:r>
    </w:p>
    <w:p>
      <w:pPr>
        <w:ind w:left="720" w:firstLine="470" w:leftChars="300" w:firstLineChars="196"/>
        <w:rPr>
          <w:rFonts w:ascii="宋体" w:hAnsi="宋体" w:cs="宋体" w:hint="eastAsia"/>
          <w:szCs w:val="21"/>
        </w:rPr>
      </w:pPr>
      <w:r>
        <w:rPr>
          <w:rFonts w:ascii="宋体" w:hAnsi="宋体" w:cs="宋体" w:hint="eastAsia"/>
          <w:szCs w:val="21"/>
        </w:rPr>
        <w:t>第一章招标公告</w:t>
      </w:r>
    </w:p>
    <w:p>
      <w:pPr>
        <w:ind w:left="720" w:firstLine="470" w:leftChars="300" w:firstLineChars="196"/>
        <w:rPr>
          <w:rFonts w:ascii="宋体" w:hAnsi="宋体" w:cs="宋体" w:hint="eastAsia"/>
          <w:szCs w:val="21"/>
        </w:rPr>
      </w:pPr>
      <w:r>
        <w:rPr>
          <w:rFonts w:ascii="宋体" w:hAnsi="宋体" w:cs="宋体" w:hint="eastAsia"/>
          <w:szCs w:val="21"/>
        </w:rPr>
        <w:t>第二章招标项目需求</w:t>
      </w:r>
    </w:p>
    <w:p>
      <w:pPr>
        <w:ind w:left="720" w:firstLine="470" w:leftChars="300" w:firstLineChars="196"/>
        <w:rPr>
          <w:rFonts w:ascii="宋体" w:hAnsi="宋体" w:cs="宋体" w:hint="eastAsia"/>
          <w:szCs w:val="21"/>
        </w:rPr>
      </w:pPr>
      <w:r>
        <w:rPr>
          <w:rFonts w:ascii="宋体" w:hAnsi="宋体" w:cs="宋体" w:hint="eastAsia"/>
          <w:szCs w:val="21"/>
        </w:rPr>
        <w:t>第三章投标文件格式、附件</w:t>
      </w:r>
    </w:p>
    <w:p>
      <w:pPr>
        <w:ind w:left="720" w:firstLine="470" w:leftChars="300" w:firstLineChars="196"/>
        <w:rPr>
          <w:rFonts w:ascii="宋体" w:hAnsi="宋体" w:cs="宋体" w:hint="eastAsia"/>
          <w:szCs w:val="21"/>
        </w:rPr>
      </w:pPr>
      <w:r>
        <w:rPr>
          <w:rFonts w:ascii="宋体" w:hAnsi="宋体" w:cs="宋体" w:hint="eastAsia"/>
          <w:szCs w:val="21"/>
        </w:rPr>
        <w:t>第四章合同及履约情况反馈格式</w:t>
      </w:r>
    </w:p>
    <w:p>
      <w:pPr>
        <w:ind w:left="480" w:firstLine="470" w:leftChars="200" w:firstLineChars="196"/>
        <w:rPr>
          <w:rFonts w:ascii="宋体" w:hAnsi="宋体" w:cs="宋体" w:hint="eastAsia"/>
          <w:b/>
          <w:szCs w:val="21"/>
        </w:rPr>
      </w:pPr>
      <w:r>
        <w:rPr>
          <w:rFonts w:ascii="宋体" w:hAnsi="宋体" w:cs="宋体" w:hint="eastAsia"/>
          <w:b/>
          <w:szCs w:val="21"/>
        </w:rPr>
        <w:t>第二册通用条款</w:t>
      </w:r>
    </w:p>
    <w:p>
      <w:pPr>
        <w:ind w:left="720" w:firstLine="470" w:leftChars="300" w:firstLineChars="196"/>
        <w:rPr>
          <w:rFonts w:ascii="宋体" w:hAnsi="宋体" w:cs="宋体" w:hint="eastAsia"/>
          <w:szCs w:val="21"/>
        </w:rPr>
      </w:pPr>
      <w:r>
        <w:rPr>
          <w:rFonts w:ascii="宋体" w:hAnsi="宋体" w:cs="宋体" w:hint="eastAsia"/>
          <w:szCs w:val="21"/>
        </w:rPr>
        <w:t>第一章总则</w:t>
      </w:r>
    </w:p>
    <w:p>
      <w:pPr>
        <w:ind w:left="720" w:firstLine="470" w:leftChars="300" w:firstLineChars="196"/>
        <w:rPr>
          <w:rFonts w:ascii="宋体" w:hAnsi="宋体" w:cs="宋体" w:hint="eastAsia"/>
          <w:szCs w:val="21"/>
        </w:rPr>
      </w:pPr>
      <w:r>
        <w:rPr>
          <w:rFonts w:ascii="宋体" w:hAnsi="宋体" w:cs="宋体" w:hint="eastAsia"/>
          <w:szCs w:val="21"/>
        </w:rPr>
        <w:t>第二章招标文件</w:t>
      </w:r>
    </w:p>
    <w:p>
      <w:pPr>
        <w:ind w:left="720" w:firstLine="470" w:leftChars="300" w:firstLineChars="196"/>
        <w:rPr>
          <w:rFonts w:ascii="宋体" w:hAnsi="宋体" w:cs="宋体" w:hint="eastAsia"/>
          <w:szCs w:val="21"/>
        </w:rPr>
      </w:pPr>
      <w:r>
        <w:rPr>
          <w:rFonts w:ascii="宋体" w:hAnsi="宋体" w:cs="宋体" w:hint="eastAsia"/>
          <w:szCs w:val="21"/>
        </w:rPr>
        <w:t>第三章投标文件的编制</w:t>
      </w:r>
    </w:p>
    <w:p>
      <w:pPr>
        <w:ind w:left="720" w:firstLine="470" w:leftChars="300" w:firstLineChars="196"/>
        <w:rPr>
          <w:rFonts w:ascii="宋体" w:hAnsi="宋体" w:cs="宋体" w:hint="eastAsia"/>
          <w:szCs w:val="21"/>
        </w:rPr>
      </w:pPr>
      <w:r>
        <w:rPr>
          <w:rFonts w:ascii="宋体" w:hAnsi="宋体" w:cs="宋体" w:hint="eastAsia"/>
          <w:szCs w:val="21"/>
        </w:rPr>
        <w:t>第四章投标文件的递交</w:t>
      </w:r>
    </w:p>
    <w:p>
      <w:pPr>
        <w:ind w:left="720" w:firstLine="470" w:leftChars="300" w:firstLineChars="196"/>
        <w:rPr>
          <w:rFonts w:ascii="宋体" w:hAnsi="宋体" w:cs="宋体" w:hint="eastAsia"/>
          <w:szCs w:val="21"/>
        </w:rPr>
      </w:pPr>
      <w:r>
        <w:rPr>
          <w:rFonts w:ascii="宋体" w:hAnsi="宋体" w:cs="宋体" w:hint="eastAsia"/>
          <w:szCs w:val="21"/>
        </w:rPr>
        <w:t>第五章开标</w:t>
      </w:r>
    </w:p>
    <w:p>
      <w:pPr>
        <w:ind w:left="720" w:firstLine="470" w:leftChars="300" w:firstLineChars="196"/>
        <w:rPr>
          <w:rFonts w:ascii="宋体" w:hAnsi="宋体" w:cs="宋体" w:hint="eastAsia"/>
          <w:szCs w:val="21"/>
        </w:rPr>
      </w:pPr>
      <w:r>
        <w:rPr>
          <w:rFonts w:ascii="宋体" w:hAnsi="宋体" w:cs="宋体" w:hint="eastAsia"/>
          <w:szCs w:val="21"/>
        </w:rPr>
        <w:t>第六章评标要求</w:t>
      </w:r>
    </w:p>
    <w:p>
      <w:pPr>
        <w:ind w:left="720" w:firstLine="470" w:leftChars="300" w:firstLineChars="196"/>
        <w:rPr>
          <w:rFonts w:ascii="宋体" w:hAnsi="宋体" w:cs="宋体" w:hint="eastAsia"/>
          <w:szCs w:val="21"/>
        </w:rPr>
      </w:pPr>
      <w:r>
        <w:rPr>
          <w:rFonts w:ascii="宋体" w:hAnsi="宋体" w:cs="宋体" w:hint="eastAsia"/>
          <w:szCs w:val="21"/>
        </w:rPr>
        <w:t>第七章评标程序及评标方法</w:t>
      </w:r>
    </w:p>
    <w:p>
      <w:pPr>
        <w:ind w:left="720" w:firstLine="470" w:leftChars="300" w:firstLineChars="196"/>
        <w:rPr>
          <w:rFonts w:ascii="宋体" w:hAnsi="宋体" w:cs="宋体" w:hint="eastAsia"/>
          <w:szCs w:val="21"/>
        </w:rPr>
      </w:pPr>
      <w:r>
        <w:rPr>
          <w:rFonts w:ascii="宋体" w:hAnsi="宋体" w:cs="宋体" w:hint="eastAsia"/>
          <w:szCs w:val="21"/>
        </w:rPr>
        <w:t>第八章定标及公示</w:t>
      </w:r>
    </w:p>
    <w:p>
      <w:pPr>
        <w:ind w:left="720" w:firstLine="470" w:leftChars="300" w:firstLineChars="196"/>
        <w:rPr>
          <w:rFonts w:ascii="宋体" w:hAnsi="宋体" w:cs="宋体" w:hint="eastAsia"/>
          <w:szCs w:val="21"/>
        </w:rPr>
      </w:pPr>
      <w:r>
        <w:rPr>
          <w:rFonts w:ascii="宋体" w:hAnsi="宋体" w:cs="宋体" w:hint="eastAsia"/>
          <w:szCs w:val="21"/>
        </w:rPr>
        <w:t>第九章公开招标失败的后续处理</w:t>
      </w:r>
    </w:p>
    <w:p>
      <w:pPr>
        <w:ind w:left="720" w:firstLine="470" w:leftChars="300" w:firstLineChars="196"/>
        <w:rPr>
          <w:rFonts w:ascii="宋体" w:hAnsi="宋体" w:cs="宋体" w:hint="eastAsia"/>
          <w:szCs w:val="21"/>
        </w:rPr>
      </w:pPr>
      <w:r>
        <w:rPr>
          <w:rFonts w:ascii="宋体" w:hAnsi="宋体" w:cs="宋体" w:hint="eastAsia"/>
          <w:szCs w:val="21"/>
        </w:rPr>
        <w:t>第十章合同的授予与备案</w:t>
      </w:r>
    </w:p>
    <w:p>
      <w:pPr>
        <w:ind w:left="720" w:firstLine="470" w:leftChars="300" w:firstLineChars="196"/>
        <w:rPr>
          <w:rFonts w:ascii="宋体" w:hAnsi="宋体" w:cs="宋体" w:hint="eastAsia"/>
          <w:szCs w:val="21"/>
        </w:rPr>
      </w:pPr>
      <w:r>
        <w:rPr>
          <w:rFonts w:ascii="宋体" w:hAnsi="宋体" w:cs="宋体" w:hint="eastAsia"/>
          <w:szCs w:val="21"/>
        </w:rPr>
        <w:t>第十一章质疑处理</w:t>
      </w:r>
    </w:p>
    <w:p>
      <w:pPr>
        <w:ind w:left="720" w:firstLine="470" w:leftChars="300" w:firstLineChars="196"/>
        <w:rPr>
          <w:rFonts w:ascii="宋体" w:hAnsi="宋体" w:cs="宋体" w:hint="eastAsia"/>
          <w:szCs w:val="21"/>
        </w:rPr>
      </w:pPr>
      <w:r>
        <w:rPr>
          <w:rFonts w:ascii="宋体" w:hAnsi="宋体" w:cs="宋体" w:hint="eastAsia"/>
          <w:szCs w:val="21"/>
        </w:rPr>
        <w:t>第十二章中标服务费</w:t>
      </w:r>
    </w:p>
    <w:p>
      <w:pPr>
        <w:ind w:firstLine="470" w:firstLineChars="196"/>
        <w:rPr>
          <w:rFonts w:ascii="宋体" w:hAnsi="宋体" w:cs="宋体" w:hint="eastAsia"/>
          <w:szCs w:val="21"/>
        </w:rPr>
      </w:pPr>
      <w:r>
        <w:rPr>
          <w:rFonts w:ascii="宋体" w:hAnsi="宋体" w:cs="宋体" w:hint="eastAsia"/>
          <w:szCs w:val="21"/>
        </w:rPr>
        <w:t>11.2 投标人下载招标文件后，应仔细检查招标文件的所有内容，如有疑问应在答疑截止时间之前向采购代理机构提出，否则，由此引起的投标损失自负；投标人同时应认真审阅招标文件所有的事项、格式、条款和规范要求等，如果投标人的投标文件未按招标文件要求提交全部资料或者投标文件未对招标文件做出实质性响应，其风险应由投标人自行承担，并根据有关条款规定，其投标有可能被拒绝。</w:t>
      </w:r>
    </w:p>
    <w:p>
      <w:pPr>
        <w:ind w:firstLine="470" w:firstLineChars="196"/>
        <w:rPr>
          <w:rFonts w:ascii="宋体" w:hAnsi="宋体" w:cs="宋体" w:hint="eastAsia"/>
          <w:szCs w:val="21"/>
        </w:rPr>
      </w:pPr>
      <w:r>
        <w:rPr>
          <w:rFonts w:ascii="宋体" w:hAnsi="宋体" w:cs="宋体" w:hint="eastAsia"/>
          <w:szCs w:val="21"/>
        </w:rPr>
        <w:t>11.3</w:t>
      </w:r>
      <w:r>
        <w:rPr>
          <w:rFonts w:ascii="宋体" w:hAnsi="宋体" w:cs="宋体" w:hint="eastAsia"/>
        </w:rPr>
        <w:t>任何人或任何组织向投标人提交的任何书面或口头资料，未经</w:t>
      </w:r>
      <w:r>
        <w:rPr>
          <w:rFonts w:ascii="宋体" w:hAnsi="宋体" w:cs="宋体" w:hint="eastAsia"/>
          <w:szCs w:val="21"/>
        </w:rPr>
        <w:t>采购代理机构</w:t>
      </w:r>
      <w:r>
        <w:rPr>
          <w:rFonts w:ascii="宋体" w:hAnsi="宋体" w:cs="宋体" w:hint="eastAsia"/>
        </w:rPr>
        <w:t>在网上发布或书面通知，均作无效处理，不得作为招标文件的组成部分。</w:t>
      </w:r>
      <w:r>
        <w:rPr>
          <w:rFonts w:ascii="宋体" w:hAnsi="宋体" w:cs="宋体" w:hint="eastAsia"/>
          <w:szCs w:val="21"/>
        </w:rPr>
        <w:t>采购代理机构</w:t>
      </w:r>
      <w:r>
        <w:rPr>
          <w:rFonts w:ascii="宋体" w:hAnsi="宋体" w:cs="宋体" w:hint="eastAsia"/>
        </w:rPr>
        <w:t>对投标人由此而做出的推论、理解和结论概不负责。</w:t>
      </w:r>
    </w:p>
    <w:p>
      <w:pPr>
        <w:rPr>
          <w:rFonts w:ascii="宋体" w:hAnsi="宋体" w:cs="宋体" w:hint="eastAsia"/>
          <w:sz w:val="24"/>
        </w:rPr>
      </w:pPr>
      <w:r>
        <w:rPr>
          <w:rFonts w:ascii="宋体" w:hAnsi="宋体" w:cs="宋体" w:hint="eastAsia"/>
          <w:sz w:val="24"/>
        </w:rPr>
        <w:t>12．招标文件的澄清</w:t>
      </w:r>
    </w:p>
    <w:p>
      <w:pPr>
        <w:ind w:firstLine="470" w:firstLineChars="196"/>
        <w:rPr>
          <w:rFonts w:ascii="宋体" w:hAnsi="宋体" w:cs="宋体" w:hint="eastAsia"/>
          <w:szCs w:val="21"/>
        </w:rPr>
      </w:pPr>
      <w:r>
        <w:rPr>
          <w:rFonts w:ascii="宋体" w:hAnsi="宋体" w:cs="宋体" w:hint="eastAsia"/>
          <w:szCs w:val="21"/>
        </w:rPr>
        <w:t>12.1投标人如对招标文件内容有疑问，必须在招标文件规定的答疑截止时间前以网上提问形式提交给采购代理机构。不论是采购人采购代理机构根据需要主动对招标文件进行必要的澄清或是根据投标人的要求对招标文件做出澄清，采购代理机构都将在投标截止日期前以书面形式（包括网站公开发布方式）答复或发送给所有投标人，招标文件的澄清均在指定媒体以网上公告形式发布，并对投标人具有约束力，在项目开标前，投标人有义务上网查看，公告一经上网发布，即视为送达。澄清纪要作为招标文件的组成部分，对投标人起约束作用；</w:t>
      </w:r>
    </w:p>
    <w:p>
      <w:pPr>
        <w:ind w:firstLine="470" w:firstLineChars="196"/>
        <w:rPr>
          <w:rFonts w:ascii="宋体" w:hAnsi="宋体" w:cs="宋体" w:hint="eastAsia"/>
          <w:szCs w:val="21"/>
        </w:rPr>
      </w:pPr>
      <w:r>
        <w:rPr>
          <w:rFonts w:ascii="宋体" w:hAnsi="宋体" w:cs="宋体" w:hint="eastAsia"/>
          <w:szCs w:val="21"/>
        </w:rPr>
        <w:t>12.2对于没有提出澄清又参与了该项目投标的供应商将被视为完全认同该招标文件（含澄清纪要），投标截止期后不再受理针对招标文件的相关质疑或投诉。</w:t>
      </w:r>
    </w:p>
    <w:p>
      <w:pPr>
        <w:ind w:firstLine="470" w:firstLineChars="196"/>
        <w:rPr>
          <w:rFonts w:ascii="宋体" w:hAnsi="宋体" w:cs="宋体" w:hint="eastAsia"/>
          <w:szCs w:val="21"/>
        </w:rPr>
      </w:pPr>
      <w:r>
        <w:rPr>
          <w:rFonts w:ascii="宋体" w:hAnsi="宋体" w:cs="宋体" w:hint="eastAsia"/>
          <w:szCs w:val="21"/>
        </w:rPr>
        <w:t>12.3 对招标文件中描述有歧意或前后不一致的地方，评审委员会有权进行评判，但对同一条款的评判应适用于每个投标人。</w:t>
      </w:r>
    </w:p>
    <w:p>
      <w:pPr>
        <w:rPr>
          <w:rFonts w:ascii="宋体" w:hAnsi="宋体" w:cs="宋体" w:hint="eastAsia"/>
          <w:sz w:val="24"/>
        </w:rPr>
      </w:pPr>
      <w:r>
        <w:rPr>
          <w:rFonts w:ascii="宋体" w:hAnsi="宋体" w:cs="宋体" w:hint="eastAsia"/>
          <w:sz w:val="24"/>
        </w:rPr>
        <w:t>13．招标文件的修改</w:t>
      </w:r>
    </w:p>
    <w:p>
      <w:pPr>
        <w:ind w:firstLine="470" w:firstLineChars="196"/>
        <w:rPr>
          <w:rFonts w:ascii="宋体" w:hAnsi="宋体" w:cs="宋体" w:hint="eastAsia"/>
          <w:szCs w:val="21"/>
        </w:rPr>
      </w:pPr>
      <w:r>
        <w:rPr>
          <w:rFonts w:ascii="宋体" w:hAnsi="宋体" w:cs="宋体" w:hint="eastAsia"/>
          <w:szCs w:val="21"/>
        </w:rPr>
        <w:t>13.1招标文件发出后，在投标截止日期前任何时候，确需要变更招标内容的，经采购人同意后采购代理机构可主动或在解答投标人提出的澄清问题时对招标文件进行修改；</w:t>
      </w:r>
    </w:p>
    <w:p>
      <w:pPr>
        <w:ind w:firstLine="470" w:firstLineChars="196"/>
        <w:rPr>
          <w:rFonts w:ascii="宋体" w:hAnsi="宋体" w:cs="宋体" w:hint="eastAsia"/>
          <w:szCs w:val="21"/>
        </w:rPr>
      </w:pPr>
      <w:r>
        <w:rPr>
          <w:rFonts w:ascii="宋体" w:hAnsi="宋体" w:cs="宋体" w:hint="eastAsia"/>
          <w:szCs w:val="21"/>
        </w:rPr>
        <w:t>13.2招标文件的修改以书面形式（包括网站公开发布方式）发送给所有投标人，招标文件的修改内容作为招标文件的组成部分，并具有约束力。</w:t>
      </w:r>
    </w:p>
    <w:p>
      <w:pPr>
        <w:ind w:firstLine="470" w:firstLineChars="196"/>
        <w:rPr>
          <w:rFonts w:ascii="宋体" w:hAnsi="宋体" w:cs="宋体" w:hint="eastAsia"/>
          <w:szCs w:val="21"/>
        </w:rPr>
      </w:pPr>
      <w:r>
        <w:rPr>
          <w:rFonts w:ascii="宋体" w:hAnsi="宋体" w:cs="宋体" w:hint="eastAsia"/>
          <w:szCs w:val="21"/>
        </w:rPr>
        <w:t>13.3招标文件、招标文件澄清（答疑）纪要、招标文件修改补充通知内容均以书面（包括网站公开发布方式）明确的内容为准。当招标文件、修改补充通知、澄清（答疑）纪要内容相互矛盾时，以最后发出的通知（或纪要）或修改文件为准；</w:t>
      </w:r>
    </w:p>
    <w:p>
      <w:pPr>
        <w:ind w:firstLine="470" w:firstLineChars="196"/>
        <w:rPr>
          <w:rFonts w:ascii="宋体" w:hAnsi="宋体" w:cs="宋体" w:hint="eastAsia"/>
          <w:szCs w:val="21"/>
        </w:rPr>
      </w:pPr>
      <w:r>
        <w:rPr>
          <w:rFonts w:ascii="宋体" w:hAnsi="宋体" w:cs="宋体" w:hint="eastAsia"/>
          <w:szCs w:val="21"/>
        </w:rPr>
        <w:t>13.4招标文件澄清（答疑）纪要和招标文件修改补充通知在投标截止时间前以网站公开发布形式或书面形式发送给所有投标人。为使投标人在编写投标文件时有充分时间对招标文件的修改部分进行研究，经采购人同意后，采购代理机构可以根据采购人要求延长递交投标文件的截止日期，具体时间将在修改补充通知中明确。</w:t>
      </w:r>
    </w:p>
    <w:p>
      <w:pPr>
        <w:ind w:firstLine="470" w:firstLineChars="196"/>
        <w:rPr>
          <w:rFonts w:ascii="宋体" w:hAnsi="宋体" w:cs="宋体" w:hint="eastAsia"/>
          <w:szCs w:val="21"/>
        </w:rPr>
      </w:pPr>
    </w:p>
    <w:p>
      <w:pPr>
        <w:ind w:firstLine="470" w:firstLineChars="196"/>
        <w:rPr>
          <w:rFonts w:ascii="宋体" w:hAnsi="宋体" w:cs="宋体" w:hint="eastAsia"/>
          <w:szCs w:val="21"/>
        </w:rPr>
      </w:pPr>
    </w:p>
    <w:p>
      <w:pPr>
        <w:pStyle w:val="Heading2"/>
        <w:numPr>
          <w:ilvl w:val="0"/>
          <w:numId w:val="6"/>
        </w:numPr>
        <w:tabs>
          <w:tab w:val="left" w:pos="720"/>
        </w:tabs>
        <w:spacing w:before="120" w:beforeLines="50" w:after="120" w:afterLines="50"/>
        <w:rPr>
          <w:rFonts w:cs="宋体" w:hint="eastAsia"/>
          <w:b w:val="0"/>
          <w:bCs w:val="0"/>
          <w:sz w:val="28"/>
          <w:szCs w:val="28"/>
        </w:rPr>
      </w:pPr>
      <w:r>
        <w:rPr>
          <w:rFonts w:cs="宋体" w:hint="eastAsia"/>
          <w:b w:val="0"/>
          <w:bCs w:val="0"/>
          <w:sz w:val="28"/>
          <w:szCs w:val="28"/>
        </w:rPr>
        <w:t>投标文件的编制</w:t>
      </w:r>
    </w:p>
    <w:p>
      <w:pPr>
        <w:rPr>
          <w:rFonts w:ascii="宋体" w:hAnsi="宋体" w:cs="宋体" w:hint="eastAsia"/>
          <w:sz w:val="24"/>
        </w:rPr>
      </w:pPr>
      <w:r>
        <w:rPr>
          <w:rFonts w:ascii="宋体" w:hAnsi="宋体" w:cs="宋体" w:hint="eastAsia"/>
          <w:sz w:val="24"/>
        </w:rPr>
        <w:t>14．投标文件的语言及度量单位</w:t>
      </w:r>
    </w:p>
    <w:p>
      <w:pPr>
        <w:ind w:firstLine="470" w:firstLineChars="196"/>
        <w:rPr>
          <w:rFonts w:ascii="宋体" w:hAnsi="宋体" w:cs="宋体" w:hint="eastAsia"/>
          <w:szCs w:val="21"/>
        </w:rPr>
      </w:pPr>
      <w:r>
        <w:rPr>
          <w:rFonts w:ascii="宋体" w:hAnsi="宋体" w:cs="宋体" w:hint="eastAsia"/>
          <w:szCs w:val="21"/>
        </w:rPr>
        <w:t>14.1 投标人与采购代理机构或采购人之间与投标有关的所有往来通知、函件和投标文件均用中文表述。投标人随投标文件提供的证明文件和资料可以为其它语言，但必须附中文译文。翻译的中文资料与外文资料如果出现差异时，以中文为准，但翻译错误的除外。</w:t>
      </w:r>
    </w:p>
    <w:p>
      <w:pPr>
        <w:ind w:firstLine="470" w:firstLineChars="196"/>
        <w:rPr>
          <w:rFonts w:ascii="宋体" w:hAnsi="宋体" w:cs="宋体" w:hint="eastAsia"/>
          <w:szCs w:val="21"/>
        </w:rPr>
      </w:pPr>
      <w:r>
        <w:rPr>
          <w:rFonts w:ascii="宋体" w:hAnsi="宋体" w:cs="宋体" w:hint="eastAsia"/>
          <w:szCs w:val="21"/>
        </w:rPr>
        <w:t>14.2 除技术规范另有规定外，投标文件使用的度量单位，均采用中华人民共和国法定计量单位。</w:t>
      </w:r>
    </w:p>
    <w:p>
      <w:pPr>
        <w:rPr>
          <w:rFonts w:ascii="宋体" w:hAnsi="宋体" w:cs="宋体" w:hint="eastAsia"/>
          <w:sz w:val="24"/>
        </w:rPr>
      </w:pPr>
      <w:r>
        <w:rPr>
          <w:rFonts w:ascii="宋体" w:hAnsi="宋体" w:cs="宋体" w:hint="eastAsia"/>
          <w:sz w:val="24"/>
        </w:rPr>
        <w:t>15．投标文件的组成</w:t>
      </w:r>
    </w:p>
    <w:p>
      <w:pPr>
        <w:ind w:firstLine="470" w:firstLineChars="196"/>
        <w:rPr>
          <w:rFonts w:ascii="宋体" w:hAnsi="宋体" w:cs="宋体" w:hint="eastAsia"/>
          <w:b/>
          <w:szCs w:val="21"/>
        </w:rPr>
      </w:pPr>
      <w:r>
        <w:rPr>
          <w:rFonts w:ascii="宋体" w:hAnsi="宋体" w:cs="宋体" w:hint="eastAsia"/>
          <w:b/>
          <w:szCs w:val="21"/>
        </w:rPr>
        <w:t>具体内容请详见本项目专用条款的相关内容。</w:t>
      </w:r>
    </w:p>
    <w:p>
      <w:pPr>
        <w:rPr>
          <w:rFonts w:ascii="宋体" w:hAnsi="宋体" w:cs="宋体" w:hint="eastAsia"/>
          <w:sz w:val="24"/>
        </w:rPr>
      </w:pPr>
      <w:r>
        <w:rPr>
          <w:rFonts w:ascii="宋体" w:hAnsi="宋体" w:cs="宋体" w:hint="eastAsia"/>
          <w:sz w:val="24"/>
        </w:rPr>
        <w:t>16．投标文件格式</w:t>
      </w:r>
    </w:p>
    <w:p>
      <w:pPr>
        <w:ind w:firstLine="470" w:firstLineChars="196"/>
        <w:rPr>
          <w:rFonts w:ascii="宋体" w:hAnsi="宋体" w:cs="宋体" w:hint="eastAsia"/>
          <w:szCs w:val="21"/>
        </w:rPr>
      </w:pPr>
      <w:r>
        <w:rPr>
          <w:rFonts w:ascii="宋体" w:hAnsi="宋体" w:cs="宋体" w:hint="eastAsia"/>
          <w:szCs w:val="21"/>
        </w:rPr>
        <w:t>投标文件包括本通用条款第15条中规定的内容。如招标文件提供了投标文件格式，则</w:t>
      </w:r>
      <w:r>
        <w:rPr>
          <w:rFonts w:ascii="宋体" w:hAnsi="宋体" w:cs="宋体" w:hint="eastAsia"/>
          <w:b/>
          <w:bCs/>
          <w:szCs w:val="21"/>
        </w:rPr>
        <w:t>投标人提交的投标文件应毫无例外地使用招标文件所提供的相应格式</w:t>
      </w:r>
      <w:r>
        <w:rPr>
          <w:rFonts w:ascii="宋体" w:hAnsi="宋体" w:cs="宋体" w:hint="eastAsia"/>
          <w:szCs w:val="21"/>
        </w:rPr>
        <w:t>（表格可以按同样格式扩展）。</w:t>
      </w:r>
    </w:p>
    <w:p>
      <w:pPr>
        <w:rPr>
          <w:rFonts w:ascii="宋体" w:hAnsi="宋体" w:cs="宋体" w:hint="eastAsia"/>
          <w:sz w:val="24"/>
        </w:rPr>
      </w:pPr>
      <w:r>
        <w:rPr>
          <w:rFonts w:ascii="宋体" w:hAnsi="宋体" w:cs="宋体" w:hint="eastAsia"/>
          <w:sz w:val="24"/>
        </w:rPr>
        <w:t>17．投标货币</w:t>
      </w:r>
    </w:p>
    <w:p>
      <w:pPr>
        <w:ind w:firstLine="470" w:firstLineChars="196"/>
        <w:rPr>
          <w:rFonts w:ascii="宋体" w:hAnsi="宋体" w:cs="宋体" w:hint="eastAsia"/>
          <w:szCs w:val="21"/>
        </w:rPr>
      </w:pPr>
      <w:r>
        <w:rPr>
          <w:rFonts w:ascii="宋体" w:hAnsi="宋体" w:cs="宋体" w:hint="eastAsia"/>
          <w:szCs w:val="21"/>
        </w:rPr>
        <w:t>本项目的投标应以人民币计。</w:t>
      </w:r>
    </w:p>
    <w:p>
      <w:pPr>
        <w:rPr>
          <w:rFonts w:ascii="宋体" w:hAnsi="宋体" w:cs="宋体" w:hint="eastAsia"/>
          <w:sz w:val="24"/>
        </w:rPr>
      </w:pPr>
      <w:r>
        <w:rPr>
          <w:rFonts w:ascii="宋体" w:hAnsi="宋体" w:cs="宋体" w:hint="eastAsia"/>
          <w:sz w:val="24"/>
        </w:rPr>
        <w:t>18．证明投标文件投标技术方案的合格性和符合招标文件规定的文件要求</w:t>
      </w:r>
    </w:p>
    <w:p>
      <w:pPr>
        <w:ind w:firstLine="470" w:firstLineChars="196"/>
        <w:rPr>
          <w:rFonts w:ascii="宋体" w:hAnsi="宋体" w:cs="宋体" w:hint="eastAsia"/>
          <w:szCs w:val="21"/>
        </w:rPr>
      </w:pPr>
      <w:r>
        <w:rPr>
          <w:rFonts w:ascii="宋体" w:hAnsi="宋体" w:cs="宋体" w:hint="eastAsia"/>
          <w:szCs w:val="21"/>
        </w:rPr>
        <w:t>18.1 投标人应提交证明文件证明其投标技术方案项下的货物、工程和服务的合格性符合招标文件规定。该投标技术方案及其证明文件作为投标文件的一部分。</w:t>
      </w:r>
    </w:p>
    <w:p>
      <w:pPr>
        <w:ind w:firstLine="470" w:firstLineChars="196"/>
        <w:rPr>
          <w:rFonts w:ascii="宋体" w:hAnsi="宋体" w:cs="宋体" w:hint="eastAsia"/>
          <w:szCs w:val="21"/>
        </w:rPr>
      </w:pPr>
      <w:r>
        <w:rPr>
          <w:rFonts w:ascii="宋体" w:hAnsi="宋体" w:cs="宋体" w:hint="eastAsia"/>
          <w:szCs w:val="21"/>
        </w:rPr>
        <w:t>18.2 投标人提供证明投标技术方案与招标文件的要求相一致的文件，可以是文字资料、图纸、数据或数码照片、制造商公布的产品说明书、产品彩页和我国政府机构出具的产品检验和核准证件等，以证明投标人响应的真实性。它包括并应符合以下要求：</w:t>
      </w:r>
    </w:p>
    <w:p>
      <w:pPr>
        <w:ind w:firstLine="470" w:firstLineChars="196"/>
        <w:rPr>
          <w:rFonts w:ascii="宋体" w:hAnsi="宋体" w:cs="宋体" w:hint="eastAsia"/>
          <w:szCs w:val="21"/>
        </w:rPr>
      </w:pPr>
      <w:r>
        <w:rPr>
          <w:rFonts w:ascii="宋体" w:hAnsi="宋体" w:cs="宋体" w:hint="eastAsia"/>
          <w:szCs w:val="21"/>
        </w:rPr>
        <w:t>18.2.1主要技术指标和性能的详细说明。</w:t>
      </w:r>
    </w:p>
    <w:p>
      <w:pPr>
        <w:ind w:firstLine="470" w:firstLineChars="196"/>
        <w:rPr>
          <w:rFonts w:ascii="宋体" w:hAnsi="宋体" w:cs="宋体" w:hint="eastAsia"/>
          <w:szCs w:val="21"/>
        </w:rPr>
      </w:pPr>
      <w:r>
        <w:rPr>
          <w:rFonts w:ascii="宋体" w:hAnsi="宋体" w:cs="宋体" w:hint="eastAsia"/>
          <w:szCs w:val="21"/>
        </w:rPr>
        <w:t>18.2.2投标产品从采购人开始使用至招标文件中规定的周期内正常、连续地使用所必须的备件和专用工具清单，包括备件和专用工具的货源及现行价格。</w:t>
      </w:r>
    </w:p>
    <w:p>
      <w:pPr>
        <w:ind w:firstLine="470" w:firstLineChars="196"/>
        <w:rPr>
          <w:rFonts w:ascii="宋体" w:hAnsi="宋体" w:cs="宋体" w:hint="eastAsia"/>
          <w:szCs w:val="21"/>
        </w:rPr>
      </w:pPr>
      <w:r>
        <w:rPr>
          <w:rFonts w:ascii="宋体" w:hAnsi="宋体" w:cs="宋体" w:hint="eastAsia"/>
          <w:szCs w:val="21"/>
        </w:rPr>
        <w:t>18.2.3对照招标文件技术规格，逐条说明投标技术方案已对采购人的技术规格做出了实质性的响应，或申明与技术规格条文的偏差和例外。投标人应详细说明投标技术方案中产品的具体参数。</w:t>
      </w:r>
    </w:p>
    <w:p>
      <w:pPr>
        <w:ind w:firstLine="470" w:firstLineChars="196"/>
        <w:rPr>
          <w:rFonts w:ascii="宋体" w:hAnsi="宋体" w:cs="宋体" w:hint="eastAsia"/>
          <w:szCs w:val="21"/>
        </w:rPr>
      </w:pPr>
      <w:r>
        <w:rPr>
          <w:rFonts w:ascii="宋体" w:hAnsi="宋体" w:cs="宋体" w:hint="eastAsia"/>
          <w:szCs w:val="21"/>
        </w:rPr>
        <w:t>18.2.4产品说明书或彩页应为制造商公布或出具的中文产品说明书或彩页；提供外文说明书或彩页的，必须同时提供加盖制造商公章的对应中文翻译说明，评标依据以中文翻译内容为准，外文说明书或彩页仅供参考；产品说明书或彩页的尺寸和</w:t>
      </w:r>
      <w:r>
        <w:rPr>
          <w:rFonts w:ascii="宋体" w:hAnsi="宋体" w:cs="宋体" w:hint="eastAsia"/>
        </w:rPr>
        <w:t>清晰度要求能够使用电脑阅读、识别和判断</w:t>
      </w:r>
      <w:r>
        <w:rPr>
          <w:rFonts w:ascii="宋体" w:hAnsi="宋体" w:cs="宋体" w:hint="eastAsia"/>
          <w:szCs w:val="21"/>
        </w:rPr>
        <w:t>；</w:t>
      </w:r>
    </w:p>
    <w:p>
      <w:pPr>
        <w:ind w:firstLine="470" w:firstLineChars="196"/>
        <w:rPr>
          <w:rFonts w:ascii="宋体" w:hAnsi="宋体" w:cs="宋体" w:hint="eastAsia"/>
          <w:szCs w:val="21"/>
        </w:rPr>
      </w:pPr>
      <w:r>
        <w:rPr>
          <w:rFonts w:ascii="宋体" w:hAnsi="宋体" w:cs="宋体" w:hint="eastAsia"/>
          <w:szCs w:val="21"/>
        </w:rPr>
        <w:t>18.2.5我国政府机构出具的产品检验和核准证件应为证件正面、背面和附件标注的全部具体内容；产品检验和核准证件的尺寸和清晰度应该能够在电脑上被阅读、识别和判断，提供原件扫描件。</w:t>
      </w:r>
    </w:p>
    <w:p>
      <w:pPr>
        <w:ind w:firstLine="470" w:firstLineChars="196"/>
        <w:rPr>
          <w:rFonts w:ascii="宋体" w:hAnsi="宋体" w:cs="宋体" w:hint="eastAsia"/>
          <w:szCs w:val="21"/>
        </w:rPr>
      </w:pPr>
      <w:r>
        <w:rPr>
          <w:rFonts w:ascii="宋体" w:hAnsi="宋体" w:cs="宋体" w:hint="eastAsia"/>
          <w:szCs w:val="21"/>
        </w:rPr>
        <w:t>18.3相关资料不符合18.2款要求的，评审委员会有权认定为投标技术方案不合格响应，其相关分数予以扣减或作投标无效处理。</w:t>
      </w:r>
    </w:p>
    <w:p>
      <w:pPr>
        <w:ind w:firstLine="470" w:firstLineChars="196"/>
        <w:rPr>
          <w:rFonts w:ascii="宋体" w:hAnsi="宋体" w:cs="宋体" w:hint="eastAsia"/>
          <w:szCs w:val="21"/>
        </w:rPr>
      </w:pPr>
      <w:r>
        <w:rPr>
          <w:rFonts w:ascii="宋体" w:hAnsi="宋体" w:cs="宋体" w:hint="eastAsia"/>
          <w:szCs w:val="21"/>
        </w:rPr>
        <w:t>18.4投标人在阐述上述第18.2时应注意采购人在技术规格中指出的工艺、材料和产品的标准以及参照的牌号或分类号仅起说明作用，并没有任何限制性。投标人在投标中可以选用替代标准、牌号或分类号，但这些替代要实质上满足招标文件中技术规格的要求，是否</w:t>
      </w:r>
      <w:r>
        <w:rPr>
          <w:rFonts w:ascii="宋体" w:hAnsi="宋体" w:cs="宋体" w:hint="eastAsia"/>
        </w:rPr>
        <w:t>满足要求</w:t>
      </w:r>
      <w:r>
        <w:rPr>
          <w:rFonts w:ascii="宋体" w:hAnsi="宋体" w:cs="宋体" w:hint="eastAsia"/>
          <w:szCs w:val="21"/>
        </w:rPr>
        <w:t>，由评审委员会来评判。</w:t>
      </w:r>
    </w:p>
    <w:p>
      <w:pPr>
        <w:ind w:firstLine="470" w:firstLineChars="196"/>
        <w:rPr>
          <w:rFonts w:ascii="宋体" w:hAnsi="宋体" w:cs="宋体" w:hint="eastAsia"/>
          <w:szCs w:val="21"/>
        </w:rPr>
      </w:pPr>
      <w:r>
        <w:rPr>
          <w:rFonts w:ascii="宋体" w:hAnsi="宋体" w:cs="宋体" w:hint="eastAsia"/>
          <w:szCs w:val="21"/>
        </w:rPr>
        <w:t>18.5为保证公平公正，除非另有规定或说明，投标人对同一项目投标时，不得同时提供两套或两套以上的投标方案。</w:t>
      </w:r>
    </w:p>
    <w:p>
      <w:pPr>
        <w:rPr>
          <w:rFonts w:ascii="宋体" w:hAnsi="宋体" w:cs="宋体" w:hint="eastAsia"/>
          <w:sz w:val="24"/>
        </w:rPr>
      </w:pPr>
      <w:r>
        <w:rPr>
          <w:rFonts w:ascii="宋体" w:hAnsi="宋体" w:cs="宋体" w:hint="eastAsia"/>
          <w:sz w:val="24"/>
        </w:rPr>
        <w:t>19．投标文件其他证明文件的要求</w:t>
      </w:r>
    </w:p>
    <w:p>
      <w:pPr>
        <w:pStyle w:val="NormalWeb"/>
        <w:spacing w:before="280" w:beforeAutospacing="0"/>
        <w:rPr>
          <w:rFonts w:ascii="宋体" w:hAnsi="宋体" w:cs="宋体" w:hint="eastAsia"/>
          <w:kern w:val="2"/>
          <w:sz w:val="21"/>
          <w:szCs w:val="21"/>
        </w:rPr>
      </w:pPr>
      <w:r>
        <w:rPr>
          <w:rFonts w:ascii="宋体" w:hAnsi="宋体" w:cs="宋体" w:hint="eastAsia"/>
          <w:kern w:val="2"/>
          <w:sz w:val="21"/>
          <w:szCs w:val="21"/>
        </w:rPr>
        <w:t xml:space="preserve"> 19.1对项目招标文件《评标信息》评分项中涉及的相关业绩、社保情况等内容以及《资格性审查表》和《符合性审查表》中涉及的资格证书，投标人应提供相关部门出具的证明材料扫描件或照片，原件备查。有关扫描件（或照片）的尺寸和清晰度要求能够使用电脑阅读、识别和判断。若投标人未按要求提供证明材料或提供的是部分证明材料或提供不清晰的扫描件（或照片）的，评审委员会有权认定其投标文件未对招标文件有关需求进行响应，涉及资格性检查或符合性检查的予以投标无效处理，涉及《评标信息》打分项的则该项评分予以0分处理。</w:t>
      </w:r>
    </w:p>
    <w:p>
      <w:pPr>
        <w:ind w:firstLine="470" w:firstLineChars="196"/>
        <w:rPr>
          <w:rFonts w:ascii="宋体" w:hAnsi="宋体" w:cs="宋体" w:hint="eastAsia"/>
          <w:szCs w:val="21"/>
        </w:rPr>
      </w:pPr>
      <w:r>
        <w:rPr>
          <w:rFonts w:ascii="宋体" w:hAnsi="宋体" w:cs="宋体" w:hint="eastAsia"/>
          <w:szCs w:val="21"/>
        </w:rPr>
        <w:t>19.2本项目涉及提供的有关资质证书，若原有资质证书处于年审期间，须提供证书颁发部门提供的回执，并且回执须证明该证书依然有效（若在法规范围不需提供的，供应商应做书面说明并提供证明文件，否则该证书无效），则该投标人提供年审证明的可按原资质投标；若投标人正在申报上一级别资质，在未获批准之前，仍按原级别资质投标。</w:t>
      </w:r>
    </w:p>
    <w:p>
      <w:pPr>
        <w:rPr>
          <w:rFonts w:ascii="宋体" w:hAnsi="宋体" w:cs="宋体" w:hint="eastAsia"/>
          <w:sz w:val="24"/>
        </w:rPr>
      </w:pPr>
      <w:r>
        <w:rPr>
          <w:rFonts w:ascii="宋体" w:hAnsi="宋体" w:cs="宋体" w:hint="eastAsia"/>
          <w:sz w:val="24"/>
        </w:rPr>
        <w:t>20．投标有效期</w:t>
      </w:r>
    </w:p>
    <w:p>
      <w:pPr>
        <w:ind w:firstLine="470" w:firstLineChars="196"/>
        <w:rPr>
          <w:rFonts w:ascii="宋体" w:hAnsi="宋体" w:cs="宋体" w:hint="eastAsia"/>
          <w:szCs w:val="21"/>
        </w:rPr>
      </w:pPr>
      <w:r>
        <w:rPr>
          <w:rFonts w:ascii="宋体" w:hAnsi="宋体" w:cs="宋体" w:hint="eastAsia"/>
          <w:szCs w:val="21"/>
        </w:rPr>
        <w:t>20.1 投标有效期为从投标截止之日算起的日历天数，具体见专用条款中投标有效期的天数要求。在此期限内，所有投标文件均保持有效；</w:t>
      </w:r>
    </w:p>
    <w:p>
      <w:pPr>
        <w:ind w:firstLine="470" w:firstLineChars="196"/>
        <w:rPr>
          <w:rFonts w:ascii="宋体" w:hAnsi="宋体" w:cs="宋体" w:hint="eastAsia"/>
          <w:szCs w:val="21"/>
        </w:rPr>
      </w:pPr>
      <w:r>
        <w:rPr>
          <w:rFonts w:ascii="宋体" w:hAnsi="宋体" w:cs="宋体" w:hint="eastAsia"/>
          <w:szCs w:val="21"/>
        </w:rPr>
        <w:t>20.2 在特殊的情况下，采购代理机构在原定的投标有效期满之前，经采购人同意后，可以根据需要以书面形式（包括网站公开发布方式）向投标人提出延长投标有效期的要求，对此要求投标人须以书面形式予以答复，投标人可以拒绝采购代理机构此项要求，其投标在原投标有效期满后不再有效。同意延长投标有效期的投标人不能要求也不允许修改其投标文件，但应当相应的延长投标担保有效期；</w:t>
      </w:r>
    </w:p>
    <w:p>
      <w:pPr>
        <w:ind w:firstLine="470" w:firstLineChars="196"/>
        <w:rPr>
          <w:rFonts w:ascii="宋体" w:hAnsi="宋体" w:cs="宋体" w:hint="eastAsia"/>
          <w:szCs w:val="21"/>
        </w:rPr>
      </w:pPr>
      <w:r>
        <w:rPr>
          <w:rFonts w:ascii="宋体" w:hAnsi="宋体" w:cs="宋体" w:hint="eastAsia"/>
          <w:szCs w:val="21"/>
        </w:rPr>
        <w:t>20.3中标单位的投标书有效期，截止于完成本招标文件规定的全部项目内容，项目验收及保修或其它售后服务履约结束。</w:t>
      </w:r>
    </w:p>
    <w:p>
      <w:pPr>
        <w:rPr>
          <w:rFonts w:ascii="宋体" w:hAnsi="宋体" w:cs="宋体" w:hint="eastAsia"/>
          <w:sz w:val="24"/>
        </w:rPr>
      </w:pPr>
      <w:r>
        <w:rPr>
          <w:rFonts w:ascii="宋体" w:hAnsi="宋体" w:cs="宋体" w:hint="eastAsia"/>
          <w:sz w:val="24"/>
        </w:rPr>
        <w:t>21．关于投标保证金须知</w:t>
      </w:r>
    </w:p>
    <w:p>
      <w:pPr>
        <w:pStyle w:val="BodyText"/>
        <w:spacing w:line="240" w:lineRule="auto"/>
        <w:rPr>
          <w:rFonts w:ascii="宋体" w:hAnsi="宋体" w:cs="宋体" w:hint="eastAsia"/>
        </w:rPr>
      </w:pPr>
      <w:r>
        <w:rPr>
          <w:rFonts w:ascii="宋体" w:hAnsi="宋体" w:cs="宋体" w:hint="eastAsia"/>
          <w:b w:val="0"/>
          <w:bCs w:val="0"/>
          <w:sz w:val="21"/>
          <w:szCs w:val="21"/>
        </w:rPr>
        <w:t>根据《深圳市财政局关于明确政府采购保证金管理工作的通知》的相关规定，本项目无需交纳投标保证金。</w:t>
      </w:r>
    </w:p>
    <w:p>
      <w:pPr>
        <w:rPr>
          <w:rFonts w:ascii="宋体" w:hAnsi="宋体" w:cs="宋体" w:hint="eastAsia"/>
          <w:sz w:val="24"/>
        </w:rPr>
      </w:pPr>
      <w:r>
        <w:rPr>
          <w:rFonts w:ascii="宋体" w:hAnsi="宋体" w:cs="宋体" w:hint="eastAsia"/>
          <w:sz w:val="24"/>
        </w:rPr>
        <w:t>22．投标人的替代方案</w:t>
      </w:r>
    </w:p>
    <w:p>
      <w:pPr>
        <w:ind w:firstLine="470" w:firstLineChars="196"/>
        <w:rPr>
          <w:rFonts w:ascii="宋体" w:hAnsi="宋体" w:cs="宋体" w:hint="eastAsia"/>
          <w:szCs w:val="21"/>
        </w:rPr>
      </w:pPr>
      <w:r>
        <w:rPr>
          <w:rFonts w:ascii="宋体" w:hAnsi="宋体" w:cs="宋体" w:hint="eastAsia"/>
          <w:szCs w:val="21"/>
        </w:rPr>
        <w:t>22.1投标人所提交的投标文件应完全满足招标文件的要求。除非招标的项目明确允许投标人提交替代方案，否则投标人有关替代方案的条款将初审不通过，投标无效。</w:t>
      </w:r>
    </w:p>
    <w:p>
      <w:pPr>
        <w:ind w:firstLine="470" w:firstLineChars="196"/>
        <w:rPr>
          <w:rFonts w:ascii="宋体" w:hAnsi="宋体" w:cs="宋体" w:hint="eastAsia"/>
          <w:szCs w:val="21"/>
        </w:rPr>
      </w:pPr>
      <w:r>
        <w:rPr>
          <w:rFonts w:ascii="宋体" w:hAnsi="宋体" w:cs="宋体" w:hint="eastAsia"/>
          <w:szCs w:val="21"/>
        </w:rPr>
        <w:t>22.2 如果允许投标人提交替代方案，则准备提交替代方案的投标人除应提交一份满足招标文件要求的投标文件外，还应提交需评审其替代方案所需的全部资料，包括项目方案书、技术规范、替代方案报价书、所建议的项目方案及有关的其它详细资料。</w:t>
      </w:r>
    </w:p>
    <w:p>
      <w:pPr>
        <w:rPr>
          <w:rFonts w:ascii="宋体" w:hAnsi="宋体" w:cs="宋体" w:hint="eastAsia"/>
          <w:sz w:val="24"/>
        </w:rPr>
      </w:pPr>
      <w:r>
        <w:rPr>
          <w:rFonts w:ascii="宋体" w:hAnsi="宋体" w:cs="宋体" w:hint="eastAsia"/>
          <w:sz w:val="24"/>
        </w:rPr>
        <w:t>23．投标文件的制作要求</w:t>
      </w:r>
    </w:p>
    <w:p>
      <w:pPr>
        <w:ind w:firstLine="470" w:firstLineChars="196"/>
        <w:rPr>
          <w:rFonts w:ascii="宋体" w:hAnsi="宋体"/>
        </w:rPr>
      </w:pPr>
      <w:r>
        <w:rPr>
          <w:rFonts w:ascii="宋体" w:hAnsi="宋体" w:hint="eastAsia"/>
        </w:rPr>
        <w:t>23.1投标人应准备所投项目的电子投标文件一份。此电子投标文件须由投标人根据采购代理机构提供的后缀名为.szczf的电子招标文件，下载并使用相应的深圳智慧采购平台投标文件制作专用软件打开招标文件（.szczf格式）【下载地址：</w:t>
      </w:r>
      <w:r>
        <w:t>http://zfcg.szggzy.com/</w:t>
      </w:r>
      <w:r>
        <w:rPr>
          <w:rFonts w:ascii="宋体" w:hAnsi="宋体" w:hint="eastAsia"/>
        </w:rPr>
        <w:t>TPBidder/DownLoad/深圳市智慧采购平台投标文件制作专用软件.zip】。</w:t>
      </w:r>
    </w:p>
    <w:p>
      <w:pPr>
        <w:ind w:firstLine="470" w:firstLineChars="196"/>
        <w:rPr>
          <w:rFonts w:ascii="宋体" w:hAnsi="宋体"/>
        </w:rPr>
      </w:pPr>
      <w:r>
        <w:rPr>
          <w:rFonts w:ascii="宋体" w:hAnsi="宋体" w:hint="eastAsia"/>
        </w:rPr>
        <w:t>23.2投标人在使用《投标文件制作软件》编制投标书时须注意：</w:t>
      </w:r>
    </w:p>
    <w:p>
      <w:pPr>
        <w:ind w:firstLine="470" w:firstLineChars="196"/>
        <w:rPr>
          <w:rFonts w:ascii="宋体" w:hAnsi="宋体"/>
        </w:rPr>
      </w:pPr>
      <w:r>
        <w:rPr>
          <w:rFonts w:ascii="宋体" w:hAnsi="宋体" w:hint="eastAsia"/>
        </w:rPr>
        <w:t>23.2.1导入《投标文件制作软件》的招标文件项目编号、包号应与以此制作的投标文件项目编号、包号一致。例如，不能将甲项目A包的招标书导入《投标文件制作软件》，制作乙项目B包的投标书。</w:t>
      </w:r>
    </w:p>
    <w:p>
      <w:pPr>
        <w:ind w:firstLine="470" w:firstLineChars="196"/>
        <w:rPr>
          <w:rFonts w:ascii="宋体" w:hAnsi="宋体"/>
        </w:rPr>
      </w:pPr>
      <w:r>
        <w:rPr>
          <w:rFonts w:ascii="宋体" w:hAnsi="宋体" w:hint="eastAsia"/>
        </w:rPr>
        <w:t>23.2.2不能用非本公司的电子密钥加密本公司的投标文件，或者用其它公司的登录用户上传本公司的投标文件。</w:t>
      </w:r>
    </w:p>
    <w:p>
      <w:pPr>
        <w:ind w:firstLine="470" w:firstLineChars="196"/>
        <w:rPr>
          <w:rFonts w:ascii="宋体" w:hAnsi="宋体"/>
        </w:rPr>
      </w:pPr>
      <w:r>
        <w:rPr>
          <w:rFonts w:ascii="宋体" w:hAnsi="宋体" w:hint="eastAsia"/>
        </w:rPr>
        <w:t>23.2.3要求用《投标文件制作软件》编制投标书的包，不能用其它方式编制投标书。编制投标文件时，电脑须连通互联网。</w:t>
      </w:r>
    </w:p>
    <w:p>
      <w:pPr>
        <w:ind w:firstLine="470" w:firstLineChars="196"/>
        <w:rPr>
          <w:rFonts w:ascii="宋体" w:hAnsi="宋体"/>
        </w:rPr>
      </w:pPr>
      <w:r>
        <w:rPr>
          <w:rFonts w:ascii="宋体" w:hAnsi="宋体" w:hint="eastAsia"/>
        </w:rPr>
        <w:t>23.2.4投标文件不能带病毒。采购代理机构将用专业杀毒软件对投标文件进行病毒检测，如果这两种软件均报告发现病毒，则采购代理机构认为该投标文件带病毒。</w:t>
      </w:r>
    </w:p>
    <w:p>
      <w:pPr>
        <w:ind w:firstLine="470" w:firstLineChars="196"/>
        <w:rPr>
          <w:rFonts w:ascii="宋体" w:hAnsi="宋体"/>
        </w:rPr>
      </w:pPr>
      <w:r>
        <w:rPr>
          <w:rFonts w:ascii="宋体" w:hAnsi="宋体" w:hint="eastAsia"/>
        </w:rPr>
        <w:t>23.2.5完整填写“投标关键信息”，如下图所示：</w:t>
      </w:r>
    </w:p>
    <w:p>
      <w:pPr>
        <w:ind w:firstLine="470" w:firstLineChars="196"/>
        <w:rPr>
          <w:rFonts w:ascii="宋体" w:hAnsi="宋体"/>
          <w:highlight w:val="green"/>
        </w:rPr>
      </w:pPr>
      <w:r>
        <w:rPr>
          <w:rFonts w:ascii="宋体" w:hAnsi="宋体"/>
          <w:highlight w:val="green"/>
        </w:rPr>
        <w:pict>
          <v:shape id="图片 9" o:spid="_x0000_i1034" type="#_x0000_t75" alt="图形用户界面, 应用程序&#10;&#10;描述已自动生成" style="height:214.31pt;mso-position-horizontal-relative:page;mso-position-vertical-relative:page;mso-wrap-style:square;width:415.67pt" o:preferrelative="t" filled="f" stroked="f">
            <v:stroke linestyle="single"/>
            <v:imagedata r:id="rId7" o:title="图形用户界面, 应用程序&#10;&#10;描述已自动生成"/>
            <v:path o:extrusionok="f"/>
            <o:lock v:ext="edit" aspectratio="t"/>
          </v:shape>
        </w:pict>
      </w:r>
    </w:p>
    <w:p>
      <w:pPr>
        <w:ind w:firstLine="470" w:firstLineChars="196"/>
        <w:rPr>
          <w:rFonts w:ascii="宋体" w:hAnsi="宋体"/>
          <w:b/>
        </w:rPr>
      </w:pPr>
      <w:r>
        <w:rPr>
          <w:rFonts w:ascii="宋体" w:hAnsi="宋体" w:hint="eastAsia"/>
          <w:b/>
        </w:rPr>
        <w:t>备注：上述“开标一览表”中的“投标总价”将作为价格分计算依据；其它信息仅是对投标文件相关内容的概括性表述，不作为评审依据。</w:t>
      </w:r>
    </w:p>
    <w:p>
      <w:pPr>
        <w:ind w:firstLine="470" w:firstLineChars="196"/>
        <w:rPr>
          <w:rFonts w:ascii="宋体" w:hAnsi="宋体"/>
        </w:rPr>
      </w:pPr>
      <w:r>
        <w:rPr>
          <w:rFonts w:ascii="宋体" w:hAnsi="宋体" w:hint="eastAsia"/>
        </w:rPr>
        <w:t>23.2.6投标人在编辑投标文件时，</w:t>
      </w:r>
      <w:r>
        <w:rPr>
          <w:rFonts w:ascii="宋体" w:hAnsi="宋体" w:hint="eastAsia"/>
          <w:b/>
        </w:rPr>
        <w:t>在投标文件目录中属于本节点内容的必须在本节点中填写，填写到其他节点或附件，</w:t>
      </w:r>
      <w:r>
        <w:rPr>
          <w:rFonts w:ascii="宋体" w:hAnsi="宋体" w:hint="eastAsia"/>
        </w:rPr>
        <w:t>一切后果由供应商自行承担。</w:t>
      </w:r>
    </w:p>
    <w:p>
      <w:pPr>
        <w:ind w:firstLine="470" w:firstLineChars="196"/>
        <w:rPr>
          <w:rFonts w:ascii="宋体" w:hAnsi="宋体"/>
        </w:rPr>
      </w:pPr>
      <w:r>
        <w:rPr>
          <w:rFonts w:ascii="宋体" w:hAnsi="宋体" w:hint="eastAsia"/>
        </w:rPr>
        <w:t>23.2.7投标文件编写完成后，</w:t>
      </w:r>
      <w:r>
        <w:rPr>
          <w:rFonts w:ascii="宋体" w:hAnsi="宋体" w:hint="eastAsia"/>
          <w:b/>
        </w:rPr>
        <w:t>必须用属于投标人的电子密钥进行加密，否则视同未盖公章，将导致投标文件无效。</w:t>
      </w:r>
    </w:p>
    <w:p>
      <w:pPr>
        <w:ind w:firstLine="470" w:firstLineChars="196"/>
        <w:rPr>
          <w:rFonts w:ascii="宋体" w:hAnsi="宋体"/>
        </w:rPr>
      </w:pPr>
      <w:r>
        <w:rPr>
          <w:rFonts w:ascii="宋体" w:hAnsi="宋体" w:hint="eastAsia"/>
        </w:rPr>
        <w:t>23.2.8采购代理机构不接受投标截止时间后递交的纸质、电子、传真等所有形式的投标文件。由于对网上政府采购系统操作不熟悉或自身电脑、网络等原因导致不能在投标截止时间之前上传投标文件，采购代理机构概不负责。建议于开标前一个工作日完成投标文件的制作与上传，如上传确有困难，请及时咨询。</w:t>
      </w:r>
    </w:p>
    <w:p>
      <w:pPr>
        <w:ind w:firstLine="470" w:firstLineChars="196"/>
        <w:rPr>
          <w:rFonts w:ascii="宋体" w:hAnsi="宋体"/>
        </w:rPr>
      </w:pPr>
      <w:r>
        <w:rPr>
          <w:rFonts w:ascii="宋体" w:hAnsi="宋体" w:hint="eastAsia"/>
        </w:rPr>
        <w:t>23.2.9如果开标时出现网络故障、技术故障，影响了政府采购活动，采购代理机构有权采取措施如延期、接受无法从网上上传的投标书等，以保障政府采购活动的公开、公平和公正。</w:t>
      </w:r>
    </w:p>
    <w:p>
      <w:pPr>
        <w:ind w:firstLine="470" w:firstLineChars="196"/>
        <w:rPr>
          <w:rFonts w:ascii="宋体" w:hAnsi="宋体"/>
        </w:rPr>
      </w:pPr>
      <w:r>
        <w:rPr>
          <w:rFonts w:ascii="宋体" w:hAnsi="宋体" w:hint="eastAsia"/>
        </w:rPr>
        <w:t>23.3电报、电话、传真形式的投标概不接受。</w:t>
      </w:r>
    </w:p>
    <w:p>
      <w:pPr>
        <w:ind w:firstLine="470" w:firstLineChars="196"/>
        <w:rPr>
          <w:rFonts w:ascii="宋体" w:hAnsi="宋体"/>
          <w:b/>
        </w:rPr>
      </w:pPr>
      <w:r>
        <w:rPr>
          <w:rFonts w:ascii="宋体" w:hAnsi="宋体" w:hint="eastAsia"/>
          <w:b/>
        </w:rPr>
        <w:t>23.4经投标人电子密钥加密的投标文件无须盖章或签字，</w:t>
      </w:r>
      <w:r>
        <w:rPr>
          <w:rFonts w:ascii="宋体" w:hAnsi="宋体" w:hint="eastAsia"/>
        </w:rPr>
        <w:t>专用条款另有要求的除外。</w:t>
      </w:r>
    </w:p>
    <w:p>
      <w:pPr>
        <w:ind w:firstLine="470" w:firstLineChars="196"/>
        <w:rPr>
          <w:rFonts w:ascii="宋体" w:hAnsi="宋体"/>
        </w:rPr>
      </w:pPr>
      <w:r>
        <w:rPr>
          <w:rFonts w:ascii="宋体" w:hAnsi="宋体" w:hint="eastAsia"/>
          <w:b/>
        </w:rPr>
        <w:t>23.5</w:t>
      </w:r>
      <w:r>
        <w:rPr>
          <w:rFonts w:ascii="宋体" w:hAnsi="宋体" w:hint="eastAsia"/>
        </w:rPr>
        <w:t xml:space="preserve"> 各类资格（资质）文件提供扫描件，专用条款另有要求的除外。</w:t>
      </w:r>
    </w:p>
    <w:p>
      <w:pPr>
        <w:ind w:firstLine="470" w:firstLineChars="196"/>
        <w:rPr>
          <w:rFonts w:ascii="宋体" w:hAnsi="宋体"/>
        </w:rPr>
      </w:pPr>
      <w:r>
        <w:rPr>
          <w:rFonts w:ascii="宋体" w:hAnsi="宋体" w:hint="eastAsia"/>
        </w:rPr>
        <w:t>23.1投标人应准备所投项目的电子投标文件一份。此电子投标文件须由投标人根据采购代理机构提供的后缀名为.szczf的电子招标文件，下载并使用相应的深圳智慧采购平台投标文件制作专用软件打开招标文件（.szczf格式）【下载地址：</w:t>
      </w:r>
      <w:r>
        <w:t>http://zfcg.szggzy.com/</w:t>
      </w:r>
      <w:r>
        <w:rPr>
          <w:rFonts w:ascii="宋体" w:hAnsi="宋体" w:hint="eastAsia"/>
        </w:rPr>
        <w:t>TPBidder/DownLoad/深圳市智慧采购平台投标文件制作专用软件.zip】。</w:t>
      </w:r>
    </w:p>
    <w:p>
      <w:pPr>
        <w:ind w:firstLine="470" w:firstLineChars="196"/>
        <w:rPr>
          <w:rFonts w:ascii="宋体" w:hAnsi="宋体"/>
        </w:rPr>
      </w:pPr>
      <w:r>
        <w:rPr>
          <w:rFonts w:ascii="宋体" w:hAnsi="宋体" w:hint="eastAsia"/>
        </w:rPr>
        <w:t>23.2投标人在使用《投标文件制作软件》编制投标书时须注意：</w:t>
      </w:r>
    </w:p>
    <w:p>
      <w:pPr>
        <w:ind w:firstLine="470" w:firstLineChars="196"/>
        <w:rPr>
          <w:rFonts w:ascii="宋体" w:hAnsi="宋体"/>
        </w:rPr>
      </w:pPr>
      <w:r>
        <w:rPr>
          <w:rFonts w:ascii="宋体" w:hAnsi="宋体" w:hint="eastAsia"/>
        </w:rPr>
        <w:t>23.2.1导入《投标文件制作软件》的招标文件项目编号、包号应与以此制作的投标文件项目编号、包号一致。例如，不能将甲项目A包的招标书导入《投标文件制作软件》，制作乙项目B包的投标书。</w:t>
      </w:r>
    </w:p>
    <w:p>
      <w:pPr>
        <w:ind w:firstLine="470" w:firstLineChars="196"/>
        <w:rPr>
          <w:rFonts w:ascii="宋体" w:hAnsi="宋体"/>
        </w:rPr>
      </w:pPr>
      <w:r>
        <w:rPr>
          <w:rFonts w:ascii="宋体" w:hAnsi="宋体" w:hint="eastAsia"/>
        </w:rPr>
        <w:t>23.2.2不能用非本公司的电子密钥加密本公司的投标文件，或者用其它公司的登录用户上传本公司的投标文件。</w:t>
      </w:r>
    </w:p>
    <w:p>
      <w:pPr>
        <w:ind w:firstLine="470" w:firstLineChars="196"/>
        <w:rPr>
          <w:rFonts w:ascii="宋体" w:hAnsi="宋体"/>
        </w:rPr>
      </w:pPr>
      <w:r>
        <w:rPr>
          <w:rFonts w:ascii="宋体" w:hAnsi="宋体" w:hint="eastAsia"/>
        </w:rPr>
        <w:t>23.2.3要求用《投标文件制作软件》编制投标书的包，不能用其它方式编制投标书。编制投标文件时，电脑须连通互联网。</w:t>
      </w:r>
    </w:p>
    <w:p>
      <w:pPr>
        <w:ind w:firstLine="470" w:firstLineChars="196"/>
        <w:rPr>
          <w:rFonts w:ascii="宋体" w:hAnsi="宋体"/>
        </w:rPr>
      </w:pPr>
      <w:r>
        <w:rPr>
          <w:rFonts w:ascii="宋体" w:hAnsi="宋体" w:hint="eastAsia"/>
        </w:rPr>
        <w:t>23.2.4投标文件不能带病毒。采购代理机构将用专业杀毒软件对投标文件进行病毒检测，如果这两种软件均报告发现病毒，则采购代理机构认为该投标文件带病毒。</w:t>
      </w:r>
    </w:p>
    <w:p>
      <w:pPr>
        <w:ind w:firstLine="470" w:firstLineChars="196"/>
        <w:rPr>
          <w:rFonts w:ascii="宋体" w:hAnsi="宋体"/>
        </w:rPr>
      </w:pPr>
      <w:r>
        <w:rPr>
          <w:rFonts w:ascii="宋体" w:hAnsi="宋体" w:hint="eastAsia"/>
        </w:rPr>
        <w:t>23.2.5完整填写“投标关键信息”，如下图所示：</w:t>
      </w:r>
    </w:p>
    <w:p>
      <w:pPr>
        <w:ind w:firstLine="470" w:firstLineChars="196"/>
        <w:rPr>
          <w:rFonts w:ascii="宋体" w:hAnsi="宋体"/>
        </w:rPr>
      </w:pPr>
      <w:r>
        <w:rPr>
          <w:rFonts w:ascii="宋体" w:hAnsi="宋体"/>
        </w:rPr>
        <w:pict>
          <v:shape id="图片 10" o:spid="_x0000_i1035" type="#_x0000_t75" alt="图形用户界面, 应用程序&#10;&#10;描述已自动生成" style="height:214.31pt;mso-position-horizontal-relative:page;mso-position-vertical-relative:page;mso-wrap-style:square;width:415.67pt" o:preferrelative="t" filled="f" stroked="f">
            <v:stroke linestyle="single"/>
            <v:imagedata r:id="rId7" o:title="图形用户界面, 应用程序&#10;&#10;描述已自动生成"/>
            <v:path o:extrusionok="f"/>
            <o:lock v:ext="edit" aspectratio="t"/>
          </v:shape>
        </w:pict>
      </w:r>
    </w:p>
    <w:p>
      <w:pPr>
        <w:ind w:firstLine="470" w:firstLineChars="196"/>
        <w:rPr>
          <w:rFonts w:ascii="宋体" w:hAnsi="宋体"/>
          <w:b/>
        </w:rPr>
      </w:pPr>
      <w:r>
        <w:rPr>
          <w:rFonts w:ascii="宋体" w:hAnsi="宋体" w:hint="eastAsia"/>
          <w:b/>
        </w:rPr>
        <w:t>备注：上述“开标一览表”中的“投标总价”将作为价格分计算依据；其它信息仅是对投标文件相关内容的概括性表述，不作为评审依据。</w:t>
      </w:r>
    </w:p>
    <w:p>
      <w:pPr>
        <w:ind w:firstLine="470" w:firstLineChars="196"/>
        <w:rPr>
          <w:rFonts w:ascii="宋体" w:hAnsi="宋体"/>
        </w:rPr>
      </w:pPr>
      <w:r>
        <w:rPr>
          <w:rFonts w:ascii="宋体" w:hAnsi="宋体" w:hint="eastAsia"/>
        </w:rPr>
        <w:t>23.2.6投标人在编辑投标文件时，</w:t>
      </w:r>
      <w:r>
        <w:rPr>
          <w:rFonts w:ascii="宋体" w:hAnsi="宋体" w:hint="eastAsia"/>
          <w:b/>
        </w:rPr>
        <w:t>在投标文件目录中属于本节点内容的必须在本节点中填写，填写到其他节点或附件，</w:t>
      </w:r>
      <w:r>
        <w:rPr>
          <w:rFonts w:ascii="宋体" w:hAnsi="宋体" w:hint="eastAsia"/>
        </w:rPr>
        <w:t>一切后果由供应商自行承担。</w:t>
      </w:r>
    </w:p>
    <w:p>
      <w:pPr>
        <w:ind w:firstLine="470" w:firstLineChars="196"/>
        <w:rPr>
          <w:rFonts w:ascii="宋体" w:hAnsi="宋体"/>
        </w:rPr>
      </w:pPr>
      <w:r>
        <w:rPr>
          <w:rFonts w:ascii="宋体" w:hAnsi="宋体" w:hint="eastAsia"/>
        </w:rPr>
        <w:t>23.2.7投标文件编写完成后，</w:t>
      </w:r>
      <w:r>
        <w:rPr>
          <w:rFonts w:ascii="宋体" w:hAnsi="宋体" w:hint="eastAsia"/>
          <w:b/>
        </w:rPr>
        <w:t>必须用属于投标人的电子密钥进行加密，否则视同未盖公章，将导致投标文件无效。</w:t>
      </w:r>
    </w:p>
    <w:p>
      <w:pPr>
        <w:ind w:firstLine="470" w:firstLineChars="196"/>
        <w:rPr>
          <w:rFonts w:ascii="宋体" w:hAnsi="宋体"/>
        </w:rPr>
      </w:pPr>
      <w:r>
        <w:rPr>
          <w:rFonts w:ascii="宋体" w:hAnsi="宋体" w:hint="eastAsia"/>
        </w:rPr>
        <w:t>23.2.8采购代理机构不接受投标截止时间后递交的纸质、电子、传真等所有形式的投标文件。由于对网上政府采购系统操作不熟悉或自身电脑、网络等原因导致不能在投标截止时间之前上传投标文件，采购代理机构概不负责。建议于开标前一个工作日完成投标文件的制作与上传，如上传确有困难，请及时咨询。</w:t>
      </w:r>
    </w:p>
    <w:p>
      <w:pPr>
        <w:ind w:firstLine="470" w:firstLineChars="196"/>
        <w:rPr>
          <w:rFonts w:ascii="宋体" w:hAnsi="宋体"/>
        </w:rPr>
      </w:pPr>
      <w:r>
        <w:rPr>
          <w:rFonts w:ascii="宋体" w:hAnsi="宋体" w:hint="eastAsia"/>
        </w:rPr>
        <w:t>23.2.9如果开标时出现网络故障、技术故障，影响了政府采购活动，采购代理机构有权采取措施如延期、接受无法从网上上传的投标书等，以保障政府采购活动的公开、公平和公正。</w:t>
      </w:r>
    </w:p>
    <w:p>
      <w:pPr>
        <w:ind w:firstLine="470" w:firstLineChars="196"/>
        <w:rPr>
          <w:rFonts w:ascii="宋体" w:hAnsi="宋体"/>
        </w:rPr>
      </w:pPr>
      <w:r>
        <w:rPr>
          <w:rFonts w:ascii="宋体" w:hAnsi="宋体" w:hint="eastAsia"/>
        </w:rPr>
        <w:t>23.3电报、电话、传真形式的投标概不接受。</w:t>
      </w:r>
    </w:p>
    <w:p>
      <w:pPr>
        <w:ind w:firstLine="470" w:firstLineChars="196"/>
        <w:rPr>
          <w:rFonts w:ascii="宋体" w:hAnsi="宋体"/>
          <w:b/>
        </w:rPr>
      </w:pPr>
      <w:r>
        <w:rPr>
          <w:rFonts w:ascii="宋体" w:hAnsi="宋体" w:hint="eastAsia"/>
          <w:b/>
        </w:rPr>
        <w:t>23.4经投标人电子密钥加密的投标文件无须盖章或签字，</w:t>
      </w:r>
      <w:r>
        <w:rPr>
          <w:rFonts w:ascii="宋体" w:hAnsi="宋体" w:hint="eastAsia"/>
        </w:rPr>
        <w:t>专用条款另有要求的除外。</w:t>
      </w:r>
    </w:p>
    <w:p>
      <w:pPr>
        <w:ind w:firstLine="470" w:firstLineChars="196"/>
        <w:rPr>
          <w:rFonts w:ascii="宋体" w:hAnsi="宋体"/>
        </w:rPr>
      </w:pPr>
      <w:r>
        <w:rPr>
          <w:rFonts w:ascii="宋体" w:hAnsi="宋体" w:hint="eastAsia"/>
          <w:b/>
        </w:rPr>
        <w:t>23.5</w:t>
      </w:r>
      <w:r>
        <w:rPr>
          <w:rFonts w:ascii="宋体" w:hAnsi="宋体" w:hint="eastAsia"/>
        </w:rPr>
        <w:t xml:space="preserve"> 各类资格（资质）文件提供扫描件，专用条款另有要求的除外。</w:t>
      </w:r>
    </w:p>
    <w:p>
      <w:pPr>
        <w:pStyle w:val="BodyText"/>
        <w:rPr>
          <w:rFonts w:ascii="宋体" w:hAnsi="宋体" w:cs="宋体" w:hint="eastAsia"/>
        </w:rPr>
      </w:pPr>
    </w:p>
    <w:p>
      <w:pPr>
        <w:pStyle w:val="Heading2"/>
        <w:numPr>
          <w:ilvl w:val="0"/>
          <w:numId w:val="6"/>
        </w:numPr>
        <w:tabs>
          <w:tab w:val="left" w:pos="720"/>
        </w:tabs>
        <w:spacing w:before="120" w:beforeLines="50" w:after="120" w:afterLines="50"/>
        <w:rPr>
          <w:rFonts w:cs="宋体" w:hint="eastAsia"/>
          <w:b w:val="0"/>
          <w:bCs w:val="0"/>
          <w:sz w:val="28"/>
          <w:szCs w:val="28"/>
        </w:rPr>
      </w:pPr>
      <w:r>
        <w:rPr>
          <w:rFonts w:cs="宋体" w:hint="eastAsia"/>
          <w:b w:val="0"/>
          <w:bCs w:val="0"/>
          <w:sz w:val="28"/>
          <w:szCs w:val="28"/>
        </w:rPr>
        <w:t>投标文件的递交</w:t>
      </w:r>
    </w:p>
    <w:p>
      <w:pPr>
        <w:rPr>
          <w:rFonts w:ascii="黑体" w:eastAsia="黑体" w:hAnsi="宋体"/>
          <w:sz w:val="24"/>
        </w:rPr>
      </w:pPr>
      <w:r>
        <w:rPr>
          <w:rFonts w:ascii="黑体" w:eastAsia="黑体" w:hAnsi="宋体" w:hint="eastAsia"/>
          <w:sz w:val="24"/>
        </w:rPr>
        <w:t>24．投标书的保密</w:t>
      </w:r>
    </w:p>
    <w:p>
      <w:pPr>
        <w:ind w:firstLine="470" w:firstLineChars="196"/>
        <w:rPr>
          <w:rFonts w:ascii="宋体" w:hAnsi="宋体"/>
        </w:rPr>
      </w:pPr>
      <w:r>
        <w:rPr>
          <w:rFonts w:ascii="宋体" w:hAnsi="宋体" w:hint="eastAsia"/>
        </w:rPr>
        <w:t>24.1在投标文件制作完成后，在投标文件制作软件点击【生成标书】按钮进入【填写开标一览表界面】界面，在该界面填写完开标一览表信息后点击【确定】，进入投标文件生成环节。投标文件制作软件会在投标文件生成过程中，提示用户输入密码，输入密码后对标文件自动进行加密，此加密程序确保投标文件在到达开标时间后才能解密查看。在加密过程中，请按照软件提示进行操作。加密操作界面如下图所示：</w:t>
      </w:r>
    </w:p>
    <w:p>
      <w:pPr>
        <w:ind w:firstLine="470" w:firstLineChars="196"/>
        <w:rPr>
          <w:rFonts w:ascii="宋体" w:hAnsi="宋体"/>
        </w:rPr>
      </w:pPr>
      <w:r>
        <w:rPr>
          <w:rFonts w:ascii="宋体" w:hAnsi="宋体"/>
        </w:rPr>
        <w:pict>
          <v:shape id="图片 11" o:spid="_x0000_i1036" type="#_x0000_t75" alt="图形用户界面, 应用程序&#10;&#10;描述已自动生成" style="height:214.31pt;mso-position-horizontal-relative:page;mso-position-vertical-relative:page;mso-wrap-style:square;width:415.67pt" o:preferrelative="t" filled="f" stroked="f">
            <v:stroke linestyle="single"/>
            <v:imagedata r:id="rId7" o:title="图形用户界面, 应用程序&#10;&#10;描述已自动生成"/>
            <v:path o:extrusionok="f"/>
            <o:lock v:ext="edit" aspectratio="t"/>
          </v:shape>
        </w:pict>
      </w:r>
    </w:p>
    <w:p>
      <w:pPr>
        <w:ind w:firstLine="470" w:firstLineChars="196"/>
        <w:rPr>
          <w:rFonts w:ascii="宋体" w:hAnsi="宋体"/>
        </w:rPr>
      </w:pPr>
      <w:r>
        <w:rPr>
          <w:rFonts w:ascii="宋体" w:hAnsi="宋体" w:hint="eastAsia"/>
        </w:rPr>
        <w:t>在投标文件制作软件点击【生成标书】按钮进入【填写开标一览表界面】界面，在该界面填写完开标一览表信息后点击【确定】，进入投标文件生成环节。</w:t>
      </w:r>
      <w:r>
        <w:rPr>
          <w:rFonts w:ascii="宋体" w:hAnsi="宋体"/>
        </w:rPr>
        <w:pict>
          <v:shape id="图片 12" o:spid="_x0000_i1037" type="#_x0000_t75" alt="图形用户界面&#10;&#10;描述已自动生成" style="height:215.15pt;mso-position-horizontal-relative:page;mso-position-vertical-relative:page;mso-wrap-style:square;width:415.67pt" o:preferrelative="t" filled="f" stroked="f">
            <v:stroke linestyle="single"/>
            <v:imagedata r:id="rId8" o:title="图形用户界面&#10;&#10;描述已自动生成"/>
            <v:path o:extrusionok="f"/>
            <o:lock v:ext="edit" aspectratio="t"/>
          </v:shape>
        </w:pict>
      </w:r>
    </w:p>
    <w:p>
      <w:pPr>
        <w:ind w:firstLine="470" w:firstLineChars="196"/>
        <w:rPr>
          <w:rFonts w:ascii="宋体" w:hAnsi="宋体"/>
        </w:rPr>
      </w:pPr>
      <w:r>
        <w:rPr>
          <w:rFonts w:ascii="宋体" w:hAnsi="宋体" w:hint="eastAsia"/>
        </w:rPr>
        <w:t>投标文件制作软件会在投标文件生成过程中，提示用户输入密码，输入密码后对标文件自动进行加密。</w:t>
      </w:r>
    </w:p>
    <w:p>
      <w:pPr>
        <w:ind w:firstLine="422"/>
        <w:rPr>
          <w:rFonts w:ascii="宋体" w:hAnsi="宋体"/>
          <w:b/>
        </w:rPr>
      </w:pPr>
      <w:r>
        <w:rPr>
          <w:rFonts w:ascii="宋体" w:hAnsi="宋体" w:hint="eastAsia"/>
          <w:b/>
        </w:rPr>
        <w:t>24.2若采购项目出现延期情况：</w:t>
      </w:r>
    </w:p>
    <w:p>
      <w:pPr>
        <w:ind w:firstLine="422"/>
        <w:rPr>
          <w:rFonts w:ascii="黑体" w:eastAsia="黑体" w:hAnsi="宋体"/>
          <w:b/>
          <w:sz w:val="24"/>
        </w:rPr>
      </w:pPr>
      <w:r>
        <w:rPr>
          <w:rFonts w:ascii="宋体" w:hAnsi="宋体" w:hint="eastAsia"/>
          <w:b/>
        </w:rPr>
        <w:t>如果供下载的招标文件（后缀名为.</w:t>
      </w:r>
      <w:r>
        <w:rPr>
          <w:rFonts w:ascii="宋体" w:hAnsi="宋体"/>
          <w:b/>
        </w:rPr>
        <w:t>szczf</w:t>
      </w:r>
      <w:r>
        <w:rPr>
          <w:rFonts w:ascii="宋体" w:hAnsi="宋体" w:hint="eastAsia"/>
          <w:b/>
        </w:rPr>
        <w:t>）有更新，投标人必须重新下载招标文件、重新制作投标文件、重新加密投标文件、重新上传投标文件；如果供下载的招标文件（后缀名为.</w:t>
      </w:r>
      <w:r>
        <w:rPr>
          <w:rFonts w:ascii="宋体" w:hAnsi="宋体"/>
          <w:b/>
        </w:rPr>
        <w:t>szczf</w:t>
      </w:r>
      <w:r>
        <w:rPr>
          <w:rFonts w:ascii="宋体" w:hAnsi="宋体" w:hint="eastAsia"/>
          <w:b/>
        </w:rPr>
        <w:t>）没有更新，投标人必须重新加密投标文件、重新上传投标文件（是否重新制作投标文件根据项目实际情况定）。否则，投标人自行承担投标文件无法解密导致投标无效的后果。</w:t>
      </w:r>
    </w:p>
    <w:p>
      <w:pPr>
        <w:rPr>
          <w:rFonts w:ascii="黑体" w:eastAsia="黑体" w:hAnsi="宋体"/>
          <w:sz w:val="24"/>
        </w:rPr>
      </w:pPr>
      <w:r>
        <w:rPr>
          <w:rFonts w:ascii="黑体" w:eastAsia="黑体" w:hAnsi="宋体" w:hint="eastAsia"/>
          <w:sz w:val="24"/>
        </w:rPr>
        <w:t>25．上传投标文件及投标截止日期</w:t>
      </w:r>
    </w:p>
    <w:p>
      <w:pPr>
        <w:ind w:firstLine="470" w:firstLineChars="196"/>
        <w:rPr>
          <w:rFonts w:ascii="宋体" w:hAnsi="宋体"/>
        </w:rPr>
      </w:pPr>
      <w:r>
        <w:rPr>
          <w:rFonts w:ascii="宋体" w:hAnsi="宋体" w:hint="eastAsia"/>
        </w:rPr>
        <w:t>25</w:t>
      </w:r>
      <w:r>
        <w:rPr>
          <w:rFonts w:ascii="宋体" w:hAnsi="宋体"/>
        </w:rPr>
        <w:t>.</w:t>
      </w:r>
      <w:r>
        <w:rPr>
          <w:rFonts w:ascii="宋体" w:hAnsi="宋体" w:hint="eastAsia"/>
        </w:rPr>
        <w:t>1实行网上投标，</w:t>
      </w:r>
      <w:r>
        <w:rPr>
          <w:rFonts w:ascii="宋体" w:hAnsi="宋体"/>
        </w:rPr>
        <w:t>投标人必须</w:t>
      </w:r>
      <w:r>
        <w:rPr>
          <w:rFonts w:ascii="宋体" w:hAnsi="宋体" w:hint="eastAsia"/>
        </w:rPr>
        <w:t>在招标</w:t>
      </w:r>
      <w:r>
        <w:rPr>
          <w:rFonts w:ascii="宋体" w:hAnsi="宋体"/>
        </w:rPr>
        <w:t>文件规定的投标截止时间前</w:t>
      </w:r>
      <w:r>
        <w:rPr>
          <w:rFonts w:ascii="宋体" w:hAnsi="宋体" w:hint="eastAsia"/>
        </w:rPr>
        <w:t>用电子密钥登录“深圳政府采购智慧平台用户网上办事子系统（http://zfcg.szggzy.com/TPBidder/memberLogin）”，用“【我的项目】→【项目流程】→【递交投标(应答)文件】”功能点上传投标文件。如果确有困难，多次上传均告失败，请在投标截止时间之前携带加密后的电子投标文件送达至</w:t>
      </w:r>
      <w:r>
        <w:rPr>
          <w:rFonts w:ascii="宋体" w:hAnsi="宋体" w:hint="eastAsia"/>
          <w:b/>
          <w:bCs/>
          <w:szCs w:val="21"/>
        </w:rPr>
        <w:t>深圳公共资源交易中心（深圳交易集团有限公司政府采购业务分公司）3楼304室（地址：深圳市福田区景田路70号雅枫国际酒店北侧交易集团评审区三楼），联系方式：83948100，83938584，83938599。</w:t>
      </w:r>
    </w:p>
    <w:p>
      <w:pPr>
        <w:ind w:firstLine="470" w:firstLineChars="196"/>
        <w:rPr>
          <w:rFonts w:ascii="宋体" w:hAnsi="宋体"/>
        </w:rPr>
      </w:pPr>
      <w:r>
        <w:rPr>
          <w:rFonts w:ascii="宋体" w:hAnsi="宋体" w:hint="eastAsia"/>
        </w:rPr>
        <w:t>25.2采购代理机构可以按本通用条款第13条规定，通过修改招标文件自行决定酌情延长投标截止期。在此情况下，采购代理机构、采购人和投标人受投标截止期制约的所有权利和义务均应延长至新的截止期。</w:t>
      </w:r>
    </w:p>
    <w:p>
      <w:pPr>
        <w:ind w:firstLine="470" w:firstLineChars="196"/>
        <w:rPr>
          <w:rFonts w:ascii="宋体" w:hAnsi="宋体"/>
        </w:rPr>
      </w:pPr>
      <w:r>
        <w:rPr>
          <w:rFonts w:ascii="宋体" w:hAnsi="宋体" w:hint="eastAsia"/>
        </w:rPr>
        <w:t>25</w:t>
      </w:r>
      <w:r>
        <w:rPr>
          <w:rFonts w:ascii="宋体" w:hAnsi="宋体"/>
        </w:rPr>
        <w:t>.</w:t>
      </w:r>
      <w:r>
        <w:rPr>
          <w:rFonts w:ascii="宋体" w:hAnsi="宋体" w:hint="eastAsia"/>
        </w:rPr>
        <w:t>3投标截止时间以后不得上传投标文件。</w:t>
      </w:r>
    </w:p>
    <w:p>
      <w:pPr>
        <w:ind w:firstLine="470" w:firstLineChars="196"/>
        <w:rPr>
          <w:rFonts w:ascii="宋体" w:hAnsi="宋体"/>
        </w:rPr>
      </w:pPr>
      <w:r>
        <w:rPr>
          <w:rFonts w:ascii="宋体" w:hAnsi="宋体" w:hint="eastAsia"/>
        </w:rPr>
        <w:t>25.4.投标人须在开标当日的开标时间至解密截止时间内进行解密，逾期未解密的作无效处理。解密方法：登录“深圳政府采购智慧平台用户网上办事子系统（http://zfcg.szggzy.com/TPBidder/memberLogin）”，使用本单位制作电子投标文件同一个电子密钥，在“【我的项目】→【项目流程】→【开标及解密】”进行在线解密、查询开标情况。</w:t>
      </w:r>
    </w:p>
    <w:p>
      <w:pPr>
        <w:rPr>
          <w:rFonts w:ascii="黑体" w:eastAsia="黑体" w:hAnsi="宋体"/>
          <w:sz w:val="24"/>
        </w:rPr>
      </w:pPr>
      <w:r>
        <w:rPr>
          <w:rFonts w:ascii="黑体" w:eastAsia="黑体" w:hAnsi="宋体" w:hint="eastAsia"/>
          <w:sz w:val="24"/>
        </w:rPr>
        <w:t>26. 样品、现场演示、方案讲解</w:t>
      </w:r>
    </w:p>
    <w:p>
      <w:pPr>
        <w:ind w:firstLine="470" w:firstLineChars="196"/>
        <w:rPr>
          <w:rFonts w:ascii="宋体" w:hAnsi="宋体"/>
          <w:szCs w:val="21"/>
        </w:rPr>
      </w:pPr>
      <w:r>
        <w:rPr>
          <w:rFonts w:ascii="宋体" w:hAnsi="宋体" w:hint="eastAsia"/>
          <w:szCs w:val="21"/>
        </w:rPr>
        <w:t>26.1 样品、现场演示、方案讲解等事项在招标文件专用条款中进行规定。</w:t>
      </w:r>
    </w:p>
    <w:p>
      <w:pPr>
        <w:rPr>
          <w:rFonts w:ascii="黑体" w:eastAsia="黑体" w:hAnsi="宋体"/>
          <w:sz w:val="24"/>
        </w:rPr>
      </w:pPr>
      <w:bookmarkStart w:id="35" w:name="_Hlk72428346"/>
      <w:r>
        <w:rPr>
          <w:rFonts w:ascii="黑体" w:eastAsia="黑体" w:hAnsi="宋体"/>
          <w:sz w:val="24"/>
        </w:rPr>
        <w:t>2</w:t>
      </w:r>
      <w:r>
        <w:rPr>
          <w:rFonts w:ascii="黑体" w:eastAsia="黑体" w:hAnsi="宋体" w:hint="eastAsia"/>
          <w:sz w:val="24"/>
        </w:rPr>
        <w:t>7．</w:t>
      </w:r>
      <w:r>
        <w:rPr>
          <w:rFonts w:ascii="黑体" w:eastAsia="黑体" w:hAnsi="宋体"/>
          <w:sz w:val="24"/>
        </w:rPr>
        <w:t>投标文件的修改和撤销</w:t>
      </w:r>
    </w:p>
    <w:p>
      <w:pPr>
        <w:ind w:firstLine="470" w:firstLineChars="196"/>
        <w:rPr>
          <w:rFonts w:ascii="宋体" w:hAnsi="宋体"/>
        </w:rPr>
      </w:pPr>
      <w:r>
        <w:rPr>
          <w:rFonts w:ascii="宋体" w:hAnsi="宋体"/>
        </w:rPr>
        <w:t>2</w:t>
      </w:r>
      <w:r>
        <w:rPr>
          <w:rFonts w:ascii="宋体" w:hAnsi="宋体" w:hint="eastAsia"/>
        </w:rPr>
        <w:t>7</w:t>
      </w:r>
      <w:r>
        <w:rPr>
          <w:rFonts w:ascii="宋体" w:hAnsi="宋体"/>
        </w:rPr>
        <w:t>.</w:t>
      </w:r>
      <w:r>
        <w:rPr>
          <w:rFonts w:ascii="宋体" w:hAnsi="宋体" w:hint="eastAsia"/>
        </w:rPr>
        <w:t>1</w:t>
      </w:r>
      <w:r>
        <w:rPr>
          <w:rFonts w:ascii="宋体" w:hAnsi="宋体"/>
        </w:rPr>
        <w:t>投标方在提交投标文件后可对其投标文件进行修改</w:t>
      </w:r>
      <w:r>
        <w:rPr>
          <w:rFonts w:ascii="宋体" w:hAnsi="宋体" w:hint="eastAsia"/>
        </w:rPr>
        <w:t>并重新上传投标文件</w:t>
      </w:r>
      <w:r>
        <w:rPr>
          <w:rFonts w:ascii="宋体" w:hAnsi="宋体"/>
        </w:rPr>
        <w:t>或</w:t>
      </w:r>
      <w:r>
        <w:rPr>
          <w:rFonts w:ascii="宋体" w:hAnsi="宋体" w:hint="eastAsia"/>
        </w:rPr>
        <w:t>在网上进行</w:t>
      </w:r>
      <w:r>
        <w:rPr>
          <w:rFonts w:ascii="宋体" w:hAnsi="宋体"/>
        </w:rPr>
        <w:t>撤销</w:t>
      </w:r>
      <w:r>
        <w:rPr>
          <w:rFonts w:ascii="宋体" w:hAnsi="宋体" w:hint="eastAsia"/>
        </w:rPr>
        <w:t>投标的操作</w:t>
      </w:r>
      <w:r>
        <w:rPr>
          <w:rFonts w:ascii="宋体" w:hAnsi="宋体"/>
        </w:rPr>
        <w:t>。</w:t>
      </w:r>
    </w:p>
    <w:p>
      <w:pPr>
        <w:ind w:firstLine="470" w:firstLineChars="196"/>
        <w:rPr>
          <w:rFonts w:ascii="宋体" w:hAnsi="宋体"/>
        </w:rPr>
      </w:pPr>
      <w:r>
        <w:rPr>
          <w:rFonts w:ascii="宋体" w:hAnsi="宋体"/>
        </w:rPr>
        <w:t>2</w:t>
      </w:r>
      <w:r>
        <w:rPr>
          <w:rFonts w:ascii="宋体" w:hAnsi="宋体" w:hint="eastAsia"/>
        </w:rPr>
        <w:t>7</w:t>
      </w:r>
      <w:r>
        <w:rPr>
          <w:rFonts w:ascii="宋体" w:hAnsi="宋体"/>
        </w:rPr>
        <w:t>.</w:t>
      </w:r>
      <w:r>
        <w:rPr>
          <w:rFonts w:ascii="宋体" w:hAnsi="宋体" w:hint="eastAsia"/>
        </w:rPr>
        <w:t>2</w:t>
      </w:r>
      <w:r>
        <w:rPr>
          <w:rFonts w:ascii="宋体" w:hAnsi="宋体"/>
        </w:rPr>
        <w:t>投标截止时间以后不得修改投标文件。</w:t>
      </w:r>
    </w:p>
    <w:p>
      <w:pPr>
        <w:ind w:firstLine="470" w:firstLineChars="196"/>
        <w:rPr>
          <w:rFonts w:ascii="宋体" w:hAnsi="宋体"/>
        </w:rPr>
      </w:pPr>
      <w:r>
        <w:rPr>
          <w:rFonts w:ascii="宋体" w:hAnsi="宋体"/>
        </w:rPr>
        <w:t>2</w:t>
      </w:r>
      <w:r>
        <w:rPr>
          <w:rFonts w:ascii="宋体" w:hAnsi="宋体" w:hint="eastAsia"/>
        </w:rPr>
        <w:t>7</w:t>
      </w:r>
      <w:r>
        <w:rPr>
          <w:rFonts w:ascii="宋体" w:hAnsi="宋体"/>
        </w:rPr>
        <w:t>.</w:t>
      </w:r>
      <w:r>
        <w:rPr>
          <w:rFonts w:ascii="宋体" w:hAnsi="宋体" w:hint="eastAsia"/>
        </w:rPr>
        <w:t>3从投标截止期至投标人在投标文件中确定的投标有效期之间的这段时间内，投标人不得撤回其投标。</w:t>
      </w:r>
    </w:p>
    <w:p>
      <w:pPr>
        <w:ind w:firstLine="470" w:firstLineChars="196"/>
        <w:rPr>
          <w:rFonts w:ascii="宋体" w:hAnsi="宋体"/>
          <w:szCs w:val="21"/>
        </w:rPr>
      </w:pPr>
      <w:r>
        <w:rPr>
          <w:rFonts w:ascii="宋体" w:hAnsi="宋体" w:hint="eastAsia"/>
          <w:szCs w:val="21"/>
        </w:rPr>
        <w:t>27.4</w:t>
      </w:r>
      <w:r>
        <w:rPr>
          <w:rFonts w:ascii="宋体" w:hAnsi="宋体" w:hint="eastAsia"/>
        </w:rPr>
        <w:t>采购代理机构</w:t>
      </w:r>
      <w:r>
        <w:rPr>
          <w:rFonts w:ascii="宋体" w:hAnsi="宋体" w:hint="eastAsia"/>
          <w:szCs w:val="21"/>
        </w:rPr>
        <w:t>不退还投标文件，专用条款另有规定的除外。</w:t>
      </w:r>
    </w:p>
    <w:p>
      <w:pPr>
        <w:ind w:firstLine="470" w:firstLineChars="196"/>
        <w:rPr>
          <w:rFonts w:ascii="宋体" w:hAnsi="宋体" w:cs="宋体" w:hint="eastAsia"/>
          <w:szCs w:val="21"/>
        </w:rPr>
      </w:pPr>
      <w:bookmarkEnd w:id="35"/>
    </w:p>
    <w:p>
      <w:pPr>
        <w:ind w:firstLine="470" w:firstLineChars="196"/>
        <w:rPr>
          <w:rFonts w:ascii="宋体" w:hAnsi="宋体" w:cs="宋体" w:hint="eastAsia"/>
          <w:szCs w:val="21"/>
        </w:rPr>
      </w:pPr>
    </w:p>
    <w:p>
      <w:pPr>
        <w:pStyle w:val="Heading2"/>
        <w:numPr>
          <w:ilvl w:val="0"/>
          <w:numId w:val="6"/>
        </w:numPr>
        <w:tabs>
          <w:tab w:val="left" w:pos="720"/>
        </w:tabs>
        <w:spacing w:before="120" w:beforeLines="50" w:after="120" w:afterLines="50"/>
        <w:rPr>
          <w:rFonts w:cs="宋体" w:hint="eastAsia"/>
          <w:b w:val="0"/>
          <w:bCs w:val="0"/>
          <w:sz w:val="28"/>
          <w:szCs w:val="28"/>
        </w:rPr>
      </w:pPr>
      <w:r>
        <w:rPr>
          <w:rFonts w:cs="宋体" w:hint="eastAsia"/>
          <w:b w:val="0"/>
          <w:bCs w:val="0"/>
          <w:sz w:val="28"/>
          <w:szCs w:val="28"/>
        </w:rPr>
        <w:t>开标</w:t>
      </w:r>
    </w:p>
    <w:p>
      <w:pPr>
        <w:rPr>
          <w:rFonts w:ascii="黑体" w:eastAsia="黑体" w:hAnsi="宋体"/>
          <w:sz w:val="24"/>
        </w:rPr>
      </w:pPr>
      <w:r>
        <w:rPr>
          <w:rFonts w:ascii="黑体" w:eastAsia="黑体" w:hAnsi="宋体" w:hint="eastAsia"/>
          <w:sz w:val="24"/>
        </w:rPr>
        <w:t>28．开标</w:t>
      </w:r>
    </w:p>
    <w:p>
      <w:pPr>
        <w:ind w:firstLine="420"/>
        <w:rPr>
          <w:rFonts w:ascii="宋体" w:hAnsi="宋体"/>
        </w:rPr>
      </w:pPr>
      <w:r>
        <w:rPr>
          <w:rFonts w:ascii="宋体" w:hAnsi="宋体"/>
          <w:szCs w:val="21"/>
        </w:rPr>
        <w:t>2</w:t>
      </w:r>
      <w:r>
        <w:rPr>
          <w:rFonts w:ascii="宋体" w:hAnsi="宋体" w:hint="eastAsia"/>
          <w:szCs w:val="21"/>
        </w:rPr>
        <w:t>8</w:t>
      </w:r>
      <w:r>
        <w:rPr>
          <w:rFonts w:ascii="宋体" w:hAnsi="宋体"/>
          <w:szCs w:val="21"/>
        </w:rPr>
        <w:t>.</w:t>
      </w:r>
      <w:r>
        <w:rPr>
          <w:rFonts w:ascii="宋体" w:hAnsi="宋体" w:hint="eastAsia"/>
          <w:szCs w:val="21"/>
        </w:rPr>
        <w:t>1</w:t>
      </w:r>
      <w:r>
        <w:rPr>
          <w:rFonts w:ascii="宋体" w:hAnsi="宋体" w:hint="eastAsia"/>
        </w:rPr>
        <w:t>投标人须在开标当日的开标时间至解密截止时间内进行解密，逾期未解密的作无效处理。解密方法：登录“深圳政府采购智慧平台用户网上办事子系统（</w:t>
      </w:r>
      <w:r>
        <w:rPr>
          <w:rFonts w:ascii="宋体" w:hAnsi="宋体"/>
        </w:rPr>
        <w:t>http://zfcg.szggzy.com/</w:t>
      </w:r>
      <w:r>
        <w:rPr>
          <w:rFonts w:ascii="宋体" w:hAnsi="宋体" w:hint="eastAsia"/>
        </w:rPr>
        <w:t>TPBidder/memberLogin）”，使用本单位制作电子投标文件同一个电子密钥，在“【我的项目】→【项目流程】→【开标及解密】”进行在线解密、查询开标情况。</w:t>
      </w:r>
    </w:p>
    <w:p>
      <w:pPr>
        <w:ind w:firstLine="410" w:firstLineChars="171"/>
        <w:rPr>
          <w:rFonts w:ascii="宋体" w:hAnsi="宋体"/>
          <w:szCs w:val="21"/>
        </w:rPr>
      </w:pPr>
      <w:r>
        <w:rPr>
          <w:rFonts w:ascii="宋体" w:hAnsi="宋体" w:hint="eastAsia"/>
          <w:szCs w:val="21"/>
        </w:rPr>
        <w:t>2</w:t>
      </w:r>
      <w:r>
        <w:rPr>
          <w:rFonts w:ascii="宋体" w:hAnsi="宋体"/>
          <w:szCs w:val="21"/>
        </w:rPr>
        <w:t xml:space="preserve">8.2 </w:t>
      </w:r>
      <w:r>
        <w:rPr>
          <w:rFonts w:ascii="宋体" w:hAnsi="宋体" w:hint="eastAsia"/>
          <w:szCs w:val="21"/>
        </w:rPr>
        <w:t>采购代理机构将在满足开标条件（</w:t>
      </w:r>
      <w:r>
        <w:rPr>
          <w:rFonts w:ascii="宋体" w:hAnsi="宋体" w:cs="宋体" w:hint="eastAsia"/>
          <w:color w:val="333333"/>
          <w:sz w:val="20"/>
          <w:szCs w:val="20"/>
          <w:shd w:val="clear" w:color="auto" w:fill="FFFFFF"/>
        </w:rPr>
        <w:t>①</w:t>
      </w:r>
      <w:r>
        <w:rPr>
          <w:rFonts w:ascii="宋体" w:hAnsi="宋体" w:hint="eastAsia"/>
          <w:szCs w:val="21"/>
        </w:rPr>
        <w:t>解密时间结束，解密后的投标供应商数量满足开标要求或</w:t>
      </w:r>
      <w:r>
        <w:rPr>
          <w:rFonts w:ascii="宋体" w:hAnsi="宋体" w:cs="宋体" w:hint="eastAsia"/>
          <w:color w:val="333333"/>
          <w:sz w:val="20"/>
          <w:szCs w:val="20"/>
          <w:shd w:val="clear" w:color="auto" w:fill="FFFFFF"/>
        </w:rPr>
        <w:t>②</w:t>
      </w:r>
      <w:r>
        <w:rPr>
          <w:rFonts w:ascii="宋体" w:hAnsi="宋体" w:hint="eastAsia"/>
          <w:szCs w:val="21"/>
        </w:rPr>
        <w:t>解密时间结束前所有投标供应商均完成投标文件解密）后，对投标文件进行开标，并在网上公布开标结果。</w:t>
      </w:r>
    </w:p>
    <w:p>
      <w:pPr>
        <w:ind w:firstLine="360" w:firstLineChars="150"/>
        <w:rPr>
          <w:rFonts w:ascii="宋体" w:hAnsi="宋体" w:cs="宋体" w:hint="eastAsia"/>
          <w:szCs w:val="21"/>
        </w:rPr>
      </w:pPr>
    </w:p>
    <w:p>
      <w:pPr>
        <w:pStyle w:val="Heading2"/>
        <w:numPr>
          <w:ilvl w:val="0"/>
          <w:numId w:val="6"/>
        </w:numPr>
        <w:tabs>
          <w:tab w:val="left" w:pos="720"/>
        </w:tabs>
        <w:spacing w:before="120" w:beforeLines="50" w:after="120" w:afterLines="50"/>
        <w:rPr>
          <w:rFonts w:cs="宋体" w:hint="eastAsia"/>
          <w:b w:val="0"/>
          <w:bCs w:val="0"/>
          <w:sz w:val="28"/>
          <w:szCs w:val="28"/>
        </w:rPr>
      </w:pPr>
      <w:r>
        <w:rPr>
          <w:rFonts w:cs="宋体" w:hint="eastAsia"/>
          <w:b w:val="0"/>
          <w:bCs w:val="0"/>
          <w:sz w:val="28"/>
          <w:szCs w:val="28"/>
        </w:rPr>
        <w:t>评标要求</w:t>
      </w:r>
    </w:p>
    <w:p>
      <w:pPr>
        <w:rPr>
          <w:rFonts w:ascii="宋体" w:hAnsi="宋体" w:cs="宋体" w:hint="eastAsia"/>
          <w:sz w:val="24"/>
        </w:rPr>
      </w:pPr>
      <w:r>
        <w:rPr>
          <w:rFonts w:ascii="宋体" w:hAnsi="宋体" w:cs="宋体" w:hint="eastAsia"/>
          <w:sz w:val="24"/>
        </w:rPr>
        <w:t>29．评审委员会组成</w:t>
      </w:r>
    </w:p>
    <w:p>
      <w:pPr>
        <w:ind w:firstLine="470" w:firstLineChars="196"/>
        <w:rPr>
          <w:rFonts w:ascii="宋体" w:hAnsi="宋体" w:cs="宋体" w:hint="eastAsia"/>
        </w:rPr>
      </w:pPr>
      <w:r>
        <w:rPr>
          <w:rFonts w:ascii="宋体" w:hAnsi="宋体" w:cs="宋体" w:hint="eastAsia"/>
        </w:rPr>
        <w:t>29.1网上开标结束后召开评标会议，</w:t>
      </w:r>
      <w:r>
        <w:rPr>
          <w:rFonts w:ascii="宋体" w:hAnsi="宋体" w:cs="宋体" w:hint="eastAsia"/>
          <w:szCs w:val="21"/>
        </w:rPr>
        <w:t>评审委员会</w:t>
      </w:r>
      <w:r>
        <w:rPr>
          <w:rFonts w:ascii="宋体" w:hAnsi="宋体" w:cs="宋体" w:hint="eastAsia"/>
        </w:rPr>
        <w:t>由</w:t>
      </w:r>
      <w:r>
        <w:rPr>
          <w:rFonts w:ascii="宋体" w:hAnsi="宋体" w:cs="宋体" w:hint="eastAsia"/>
          <w:szCs w:val="21"/>
        </w:rPr>
        <w:t>采购代理机构</w:t>
      </w:r>
      <w:r>
        <w:rPr>
          <w:rFonts w:ascii="宋体" w:hAnsi="宋体" w:cs="宋体" w:hint="eastAsia"/>
        </w:rPr>
        <w:t>依法组建，负责评标活动。</w:t>
      </w:r>
    </w:p>
    <w:p>
      <w:pPr>
        <w:widowControl/>
        <w:spacing w:before="47" w:after="206" w:line="299" w:lineRule="atLeast"/>
        <w:jc w:val="left"/>
        <w:rPr>
          <w:rFonts w:ascii="宋体" w:hAnsi="宋体" w:cs="宋体" w:hint="eastAsia"/>
        </w:rPr>
      </w:pPr>
      <w:r>
        <w:rPr>
          <w:rFonts w:ascii="宋体" w:hAnsi="宋体" w:cs="宋体" w:hint="eastAsia"/>
          <w:szCs w:val="21"/>
        </w:rPr>
        <w:t>评审委员会</w:t>
      </w:r>
      <w:r>
        <w:rPr>
          <w:rFonts w:ascii="宋体" w:hAnsi="宋体" w:cs="宋体" w:hint="eastAsia"/>
        </w:rPr>
        <w:t>的组成及行为规范执行《深圳经济特区政府采购条例实施细则》，评审委员会由评审专家及采购人代表组成（其中专家人数不少于评审委员会的三分之二），人数为五人以上的单数，评审专家由主管部门通过随机方式从深圳市财政局专家库中选取。</w:t>
      </w:r>
    </w:p>
    <w:p>
      <w:pPr>
        <w:ind w:firstLine="470" w:firstLineChars="196"/>
        <w:rPr>
          <w:rFonts w:ascii="宋体" w:hAnsi="宋体" w:cs="宋体" w:hint="eastAsia"/>
        </w:rPr>
      </w:pPr>
      <w:r>
        <w:rPr>
          <w:rFonts w:ascii="宋体" w:hAnsi="宋体" w:cs="宋体" w:hint="eastAsia"/>
        </w:rPr>
        <w:t>采购人代表须持《评标授权书》参加评标。</w:t>
      </w:r>
    </w:p>
    <w:p>
      <w:pPr>
        <w:ind w:firstLine="470" w:firstLineChars="196"/>
        <w:rPr>
          <w:rFonts w:ascii="宋体" w:hAnsi="宋体" w:cs="宋体" w:hint="eastAsia"/>
        </w:rPr>
      </w:pPr>
      <w:r>
        <w:rPr>
          <w:rFonts w:ascii="宋体" w:hAnsi="宋体" w:cs="宋体" w:hint="eastAsia"/>
        </w:rPr>
        <w:t>29.2评标定标应当遵循公平、公正、科学、择优的原则。</w:t>
      </w:r>
    </w:p>
    <w:p>
      <w:pPr>
        <w:ind w:firstLine="470" w:firstLineChars="196"/>
        <w:rPr>
          <w:rFonts w:ascii="宋体" w:hAnsi="宋体" w:cs="宋体" w:hint="eastAsia"/>
        </w:rPr>
      </w:pPr>
      <w:r>
        <w:rPr>
          <w:rFonts w:ascii="宋体" w:hAnsi="宋体" w:cs="宋体" w:hint="eastAsia"/>
        </w:rPr>
        <w:t>29.3评标活动依法进行，任何单位和个人不得非法干预评标过程和结果。</w:t>
      </w:r>
    </w:p>
    <w:p>
      <w:pPr>
        <w:ind w:firstLine="470" w:firstLineChars="196"/>
        <w:rPr>
          <w:rFonts w:ascii="宋体" w:hAnsi="宋体" w:cs="宋体" w:hint="eastAsia"/>
        </w:rPr>
      </w:pPr>
      <w:r>
        <w:rPr>
          <w:rFonts w:ascii="宋体" w:hAnsi="宋体" w:cs="宋体" w:hint="eastAsia"/>
        </w:rPr>
        <w:t>29.4评标过程中不允许违背评标程序或采用招标文件未载明的评标方法或评标因素进行评标。</w:t>
      </w:r>
    </w:p>
    <w:p>
      <w:pPr>
        <w:ind w:firstLine="470" w:firstLineChars="196"/>
        <w:rPr>
          <w:rFonts w:ascii="宋体" w:hAnsi="宋体" w:cs="宋体" w:hint="eastAsia"/>
          <w:bCs/>
        </w:rPr>
      </w:pPr>
      <w:r>
        <w:rPr>
          <w:rFonts w:ascii="宋体" w:hAnsi="宋体" w:cs="宋体" w:hint="eastAsia"/>
          <w:bCs/>
        </w:rPr>
        <w:t>29.5 开标后，直到签订合同为止，凡属于对投标文件的审查、澄清、评价和比较的有关资料以及与评标有关的其他任何情况均严格保密（</w:t>
      </w:r>
      <w:r>
        <w:rPr>
          <w:rFonts w:ascii="宋体" w:hAnsi="宋体" w:cs="宋体" w:hint="eastAsia"/>
        </w:rPr>
        <w:t>信息公开的内容除外</w:t>
      </w:r>
      <w:r>
        <w:rPr>
          <w:rFonts w:ascii="宋体" w:hAnsi="宋体" w:cs="宋体" w:hint="eastAsia"/>
          <w:bCs/>
        </w:rPr>
        <w:t>）。</w:t>
      </w:r>
    </w:p>
    <w:p>
      <w:pPr>
        <w:rPr>
          <w:rFonts w:ascii="宋体" w:hAnsi="宋体" w:cs="宋体" w:hint="eastAsia"/>
          <w:sz w:val="24"/>
        </w:rPr>
      </w:pPr>
      <w:r>
        <w:rPr>
          <w:rFonts w:ascii="宋体" w:hAnsi="宋体" w:cs="宋体" w:hint="eastAsia"/>
          <w:sz w:val="24"/>
        </w:rPr>
        <w:t>30．向评审委员会提供的资料</w:t>
      </w:r>
    </w:p>
    <w:p>
      <w:pPr>
        <w:ind w:firstLine="470" w:firstLineChars="196"/>
        <w:rPr>
          <w:rFonts w:ascii="宋体" w:hAnsi="宋体" w:cs="宋体" w:hint="eastAsia"/>
        </w:rPr>
      </w:pPr>
      <w:r>
        <w:rPr>
          <w:rFonts w:ascii="宋体" w:hAnsi="宋体" w:cs="宋体" w:hint="eastAsia"/>
        </w:rPr>
        <w:t>30.1公开发布的招标文件，包括图纸、服务清单、答疑文件等；</w:t>
      </w:r>
    </w:p>
    <w:p>
      <w:pPr>
        <w:ind w:firstLine="470" w:firstLineChars="196"/>
        <w:rPr>
          <w:rFonts w:ascii="宋体" w:hAnsi="宋体" w:cs="宋体" w:hint="eastAsia"/>
        </w:rPr>
      </w:pPr>
      <w:r>
        <w:rPr>
          <w:rFonts w:ascii="宋体" w:hAnsi="宋体" w:cs="宋体" w:hint="eastAsia"/>
        </w:rPr>
        <w:t>30.2其他评标必须的资料。</w:t>
      </w:r>
    </w:p>
    <w:p>
      <w:pPr>
        <w:ind w:firstLine="470" w:firstLineChars="196"/>
        <w:rPr>
          <w:rFonts w:ascii="宋体" w:hAnsi="宋体" w:cs="宋体" w:hint="eastAsia"/>
        </w:rPr>
      </w:pPr>
      <w:r>
        <w:rPr>
          <w:rFonts w:ascii="宋体" w:hAnsi="宋体" w:cs="宋体" w:hint="eastAsia"/>
        </w:rPr>
        <w:t>30.3</w:t>
      </w:r>
      <w:r>
        <w:rPr>
          <w:rFonts w:ascii="宋体" w:hAnsi="宋体" w:cs="宋体" w:hint="eastAsia"/>
          <w:szCs w:val="21"/>
        </w:rPr>
        <w:t>评审委员会</w:t>
      </w:r>
      <w:r>
        <w:rPr>
          <w:rFonts w:ascii="宋体" w:hAnsi="宋体" w:cs="宋体" w:hint="eastAsia"/>
        </w:rPr>
        <w:t>应当认真研究招标文件，至少应了解熟悉以下内容：</w:t>
      </w:r>
    </w:p>
    <w:p>
      <w:pPr>
        <w:ind w:firstLine="470" w:firstLineChars="196"/>
        <w:rPr>
          <w:rFonts w:ascii="宋体" w:hAnsi="宋体" w:cs="宋体" w:hint="eastAsia"/>
        </w:rPr>
      </w:pPr>
      <w:r>
        <w:rPr>
          <w:rFonts w:ascii="宋体" w:hAnsi="宋体" w:cs="宋体" w:hint="eastAsia"/>
        </w:rPr>
        <w:t>（1）招标的目的；</w:t>
      </w:r>
    </w:p>
    <w:p>
      <w:pPr>
        <w:ind w:firstLine="470" w:firstLineChars="196"/>
        <w:rPr>
          <w:rFonts w:ascii="宋体" w:hAnsi="宋体" w:cs="宋体" w:hint="eastAsia"/>
        </w:rPr>
      </w:pPr>
      <w:r>
        <w:rPr>
          <w:rFonts w:ascii="宋体" w:hAnsi="宋体" w:cs="宋体" w:hint="eastAsia"/>
        </w:rPr>
        <w:t>（2）招标项目需求的范围和性质；</w:t>
      </w:r>
    </w:p>
    <w:p>
      <w:pPr>
        <w:ind w:firstLine="470" w:firstLineChars="196"/>
        <w:rPr>
          <w:rFonts w:ascii="宋体" w:hAnsi="宋体" w:cs="宋体" w:hint="eastAsia"/>
        </w:rPr>
      </w:pPr>
      <w:r>
        <w:rPr>
          <w:rFonts w:ascii="宋体" w:hAnsi="宋体" w:cs="宋体" w:hint="eastAsia"/>
        </w:rPr>
        <w:t>（3）招标文件规定的投标人的资格、财政预算限额、商务条款；</w:t>
      </w:r>
    </w:p>
    <w:p>
      <w:pPr>
        <w:ind w:firstLine="470" w:firstLineChars="196"/>
        <w:rPr>
          <w:rFonts w:ascii="宋体" w:hAnsi="宋体" w:cs="宋体" w:hint="eastAsia"/>
        </w:rPr>
      </w:pPr>
      <w:r>
        <w:rPr>
          <w:rFonts w:ascii="宋体" w:hAnsi="宋体" w:cs="宋体" w:hint="eastAsia"/>
        </w:rPr>
        <w:t>（4）招标文件规定的评标程序、评标方法和评标因素；</w:t>
      </w:r>
    </w:p>
    <w:p>
      <w:pPr>
        <w:ind w:firstLine="470" w:firstLineChars="196"/>
        <w:rPr>
          <w:rFonts w:ascii="宋体" w:hAnsi="宋体" w:cs="宋体" w:hint="eastAsia"/>
        </w:rPr>
      </w:pPr>
      <w:r>
        <w:rPr>
          <w:rFonts w:ascii="宋体" w:hAnsi="宋体" w:cs="宋体" w:hint="eastAsia"/>
        </w:rPr>
        <w:t>（5）招标文件所列示的资格性审查表及符合性审查表。</w:t>
      </w:r>
    </w:p>
    <w:p>
      <w:pPr>
        <w:rPr>
          <w:rFonts w:ascii="宋体" w:hAnsi="宋体" w:cs="宋体" w:hint="eastAsia"/>
          <w:sz w:val="24"/>
        </w:rPr>
      </w:pPr>
      <w:r>
        <w:rPr>
          <w:rFonts w:ascii="宋体" w:hAnsi="宋体" w:cs="宋体" w:hint="eastAsia"/>
          <w:sz w:val="24"/>
        </w:rPr>
        <w:t>31．独立评标</w:t>
      </w:r>
    </w:p>
    <w:p>
      <w:pPr>
        <w:ind w:firstLine="470" w:firstLineChars="196"/>
        <w:rPr>
          <w:rFonts w:ascii="宋体" w:hAnsi="宋体" w:cs="宋体" w:hint="eastAsia"/>
          <w:bCs/>
          <w:szCs w:val="21"/>
        </w:rPr>
      </w:pPr>
      <w:r>
        <w:rPr>
          <w:rFonts w:ascii="宋体" w:hAnsi="宋体" w:cs="宋体" w:hint="eastAsia"/>
          <w:bCs/>
        </w:rPr>
        <w:t>30.1</w:t>
      </w:r>
      <w:r>
        <w:rPr>
          <w:rFonts w:ascii="宋体" w:hAnsi="宋体" w:cs="宋体" w:hint="eastAsia"/>
          <w:szCs w:val="21"/>
        </w:rPr>
        <w:t>评审委员会</w:t>
      </w:r>
      <w:r>
        <w:rPr>
          <w:rFonts w:ascii="宋体" w:hAnsi="宋体" w:cs="宋体" w:hint="eastAsia"/>
          <w:bCs/>
        </w:rPr>
        <w:t>成员的评标活动应当独立进行，并应遵循投标文件初审、澄清有关问题、比较与评价、确定中标供应商、编写评标报告的工作程序。</w:t>
      </w:r>
    </w:p>
    <w:p>
      <w:pPr>
        <w:pStyle w:val="Heading2"/>
        <w:numPr>
          <w:ilvl w:val="0"/>
          <w:numId w:val="6"/>
        </w:numPr>
        <w:tabs>
          <w:tab w:val="left" w:pos="720"/>
        </w:tabs>
        <w:spacing w:before="120" w:beforeLines="50" w:after="120" w:afterLines="50"/>
        <w:rPr>
          <w:rFonts w:cs="宋体" w:hint="eastAsia"/>
          <w:b w:val="0"/>
          <w:bCs w:val="0"/>
          <w:sz w:val="28"/>
          <w:szCs w:val="28"/>
        </w:rPr>
      </w:pPr>
      <w:r>
        <w:rPr>
          <w:rFonts w:cs="宋体" w:hint="eastAsia"/>
          <w:b w:val="0"/>
          <w:bCs w:val="0"/>
          <w:sz w:val="28"/>
          <w:szCs w:val="28"/>
        </w:rPr>
        <w:t>评标程序及评标方法</w:t>
      </w:r>
    </w:p>
    <w:p>
      <w:pPr>
        <w:rPr>
          <w:rFonts w:ascii="宋体" w:hAnsi="宋体" w:cs="宋体" w:hint="eastAsia"/>
          <w:sz w:val="24"/>
        </w:rPr>
      </w:pPr>
      <w:r>
        <w:rPr>
          <w:rFonts w:ascii="宋体" w:hAnsi="宋体" w:cs="宋体" w:hint="eastAsia"/>
          <w:sz w:val="24"/>
        </w:rPr>
        <w:t>32．投标文件初审</w:t>
      </w:r>
    </w:p>
    <w:p>
      <w:pPr>
        <w:ind w:firstLine="470" w:firstLineChars="196"/>
        <w:rPr>
          <w:rFonts w:ascii="宋体" w:hAnsi="宋体" w:cs="宋体" w:hint="eastAsia"/>
        </w:rPr>
      </w:pPr>
      <w:r>
        <w:rPr>
          <w:rFonts w:ascii="宋体" w:hAnsi="宋体" w:cs="宋体" w:hint="eastAsia"/>
        </w:rPr>
        <w:t>32.1投标文件初审包括资格性审查和符合性审查。资格性审查：依据法律法规和招标文件的规定，对投标文件中的资格证明进行审查，以确定投标人是否具备投标资格。符合性审查：依据招标文件的规定，从投标文件的有效性、完整性和对招标文件的响应程度进行审查，以确定是否对招标文件的实质性要求作出响应。</w:t>
      </w:r>
    </w:p>
    <w:p>
      <w:pPr>
        <w:autoSpaceDE w:val="0"/>
        <w:autoSpaceDN w:val="0"/>
        <w:adjustRightInd w:val="0"/>
        <w:jc w:val="left"/>
        <w:rPr>
          <w:rFonts w:ascii="宋体" w:hAnsi="宋体" w:cs="宋体" w:hint="eastAsia"/>
          <w:b/>
        </w:rPr>
      </w:pPr>
      <w:r>
        <w:rPr>
          <w:rFonts w:ascii="宋体" w:hAnsi="宋体" w:cs="宋体" w:hint="eastAsia"/>
        </w:rPr>
        <w:t xml:space="preserve">    32.2 </w:t>
      </w:r>
      <w:r>
        <w:rPr>
          <w:rFonts w:ascii="宋体" w:hAnsi="宋体" w:cs="宋体" w:hint="eastAsia"/>
          <w:b/>
        </w:rPr>
        <w:t>投标文件初审内容请详见《资格性审查表》和《符合性审查表》部分。投标人若有一条审查不通过则按投标无效处理。评审委员会对投标单位打√为通过审查，打×为未通过审查。</w:t>
      </w:r>
    </w:p>
    <w:p>
      <w:pPr>
        <w:ind w:firstLine="470" w:firstLineChars="196"/>
        <w:rPr>
          <w:rFonts w:ascii="宋体" w:hAnsi="宋体" w:cs="宋体" w:hint="eastAsia"/>
          <w:b/>
        </w:rPr>
      </w:pPr>
      <w:r>
        <w:rPr>
          <w:rFonts w:ascii="宋体" w:hAnsi="宋体" w:cs="宋体" w:hint="eastAsia"/>
          <w:b/>
        </w:rPr>
        <w:t>32.3 投标文件初审中关于供应商家数的计算:</w:t>
      </w:r>
    </w:p>
    <w:p>
      <w:pPr>
        <w:ind w:firstLine="470" w:firstLineChars="196"/>
        <w:rPr>
          <w:rFonts w:ascii="宋体" w:hAnsi="宋体" w:cs="宋体" w:hint="eastAsia"/>
          <w:b/>
        </w:rPr>
      </w:pPr>
      <w:r>
        <w:rPr>
          <w:rFonts w:ascii="宋体" w:hAnsi="宋体" w:cs="宋体" w:hint="eastAsia"/>
          <w:b/>
        </w:rPr>
        <w:t>32.3.1采用最低评标价法的采购项目，提供相同品牌产品的不同投标人参加同一合同项下投标的，以其中通过资格审查、符合性审查且报价最低的参加评标；报价相同的，由采购人或者采购人委托评审委员会按照招标文件规定的方式确定一个参加评标的投标人，招标文件未规定的采取随机抽取方式确定，其他投标无效。</w:t>
      </w:r>
    </w:p>
    <w:p>
      <w:pPr>
        <w:ind w:firstLine="470" w:firstLineChars="196"/>
        <w:rPr>
          <w:rFonts w:ascii="宋体" w:hAnsi="宋体" w:cs="宋体" w:hint="eastAsia"/>
          <w:b/>
        </w:rPr>
      </w:pPr>
      <w:r>
        <w:rPr>
          <w:rFonts w:ascii="宋体" w:hAnsi="宋体" w:cs="宋体" w:hint="eastAsia"/>
          <w:b/>
        </w:rPr>
        <w:t>32.3.2采用综合评分法的采购项目，提供相同品牌产品且通过资格审查、符合性审查的不同投标人参加同一合同项下投标的，按一家投标人计算，评审后得分最高的同品牌投标人获得中标人推荐资格；评审得分相同的，有效投标报价较低者优先推荐，综合得分和有效投标报价均相同的按技术得分较高者优先推荐，综合得分和有效投标报价相同且技术、商务得分均相同的由评审委员会抽签进行优先推荐一个投标人获得中标候选人推荐资格，招标文件未规定的采取随机抽取方式确定，其他同品牌投标人不作为中标候选人。</w:t>
      </w:r>
    </w:p>
    <w:p>
      <w:pPr>
        <w:ind w:firstLine="470" w:firstLineChars="196"/>
        <w:rPr>
          <w:rFonts w:ascii="宋体" w:hAnsi="宋体" w:cs="宋体" w:hint="eastAsia"/>
          <w:b/>
        </w:rPr>
      </w:pPr>
      <w:r>
        <w:rPr>
          <w:rFonts w:ascii="宋体" w:hAnsi="宋体" w:cs="宋体" w:hint="eastAsia"/>
          <w:b/>
        </w:rPr>
        <w:t>32.3.3非单一产品采购项目，采购人应当根据采购项目技术构成、产品价格比重等合理确定核心产品，并在招标文件中载明。多家投标人提供的核心产品品牌相同的，按前两款规定处理。</w:t>
      </w:r>
    </w:p>
    <w:p>
      <w:pPr>
        <w:ind w:firstLine="470" w:firstLineChars="196"/>
        <w:rPr>
          <w:rFonts w:ascii="宋体" w:hAnsi="宋体" w:cs="宋体" w:hint="eastAsia"/>
        </w:rPr>
      </w:pPr>
      <w:r>
        <w:rPr>
          <w:rFonts w:ascii="宋体" w:hAnsi="宋体" w:cs="宋体" w:hint="eastAsia"/>
        </w:rPr>
        <w:t>32.4投标人投标文件作无效处理的情形，具体包括但不限于以下：</w:t>
      </w:r>
    </w:p>
    <w:p>
      <w:pPr>
        <w:ind w:firstLine="470" w:firstLineChars="196"/>
        <w:rPr>
          <w:rFonts w:ascii="宋体" w:hAnsi="宋体" w:cs="宋体" w:hint="eastAsia"/>
        </w:rPr>
      </w:pPr>
      <w:r>
        <w:rPr>
          <w:rFonts w:ascii="宋体" w:hAnsi="宋体" w:cs="宋体" w:hint="eastAsia"/>
        </w:rPr>
        <w:t>32.4.1不同投标人的投标文件由同一单位或者同一个人编制，或者由同一个人分阶段参与编制；</w:t>
      </w:r>
    </w:p>
    <w:p>
      <w:pPr>
        <w:ind w:firstLine="470" w:firstLineChars="196"/>
        <w:rPr>
          <w:rFonts w:ascii="宋体" w:hAnsi="宋体" w:cs="宋体" w:hint="eastAsia"/>
        </w:rPr>
      </w:pPr>
      <w:r>
        <w:rPr>
          <w:rFonts w:ascii="宋体" w:hAnsi="宋体" w:cs="宋体" w:hint="eastAsia"/>
        </w:rPr>
        <w:t>32.4.2不同投标人委托同一单位或者个人办理投标事宜；</w:t>
      </w:r>
    </w:p>
    <w:p>
      <w:pPr>
        <w:ind w:firstLine="470" w:firstLineChars="196"/>
        <w:rPr>
          <w:rFonts w:ascii="宋体" w:hAnsi="宋体" w:cs="宋体" w:hint="eastAsia"/>
        </w:rPr>
      </w:pPr>
      <w:r>
        <w:rPr>
          <w:rFonts w:ascii="宋体" w:hAnsi="宋体" w:cs="宋体" w:hint="eastAsia"/>
        </w:rPr>
        <w:t>32.4.3不同投标人的投标文件载明的项目管理成员或者联系人员为同一人；</w:t>
      </w:r>
    </w:p>
    <w:p>
      <w:pPr>
        <w:ind w:firstLine="470" w:firstLineChars="196"/>
        <w:rPr>
          <w:rFonts w:ascii="宋体" w:hAnsi="宋体" w:cs="宋体" w:hint="eastAsia"/>
        </w:rPr>
      </w:pPr>
      <w:r>
        <w:rPr>
          <w:rFonts w:ascii="宋体" w:hAnsi="宋体" w:cs="宋体" w:hint="eastAsia"/>
        </w:rPr>
        <w:t>32.4.4不同投标人的投标文件异常一致或者投标报价呈规律性差异；</w:t>
      </w:r>
    </w:p>
    <w:p>
      <w:pPr>
        <w:ind w:firstLine="470" w:firstLineChars="196"/>
        <w:rPr>
          <w:rFonts w:ascii="宋体" w:hAnsi="宋体" w:cs="宋体" w:hint="eastAsia"/>
        </w:rPr>
      </w:pPr>
      <w:r>
        <w:rPr>
          <w:rFonts w:ascii="宋体" w:hAnsi="宋体" w:cs="宋体" w:hint="eastAsia"/>
        </w:rPr>
        <w:t>32.4.5不同投标人的投标文件相互混装；</w:t>
      </w:r>
    </w:p>
    <w:p>
      <w:pPr>
        <w:ind w:firstLine="470" w:firstLineChars="196"/>
        <w:rPr>
          <w:rFonts w:ascii="宋体" w:hAnsi="宋体" w:cs="宋体" w:hint="eastAsia"/>
        </w:rPr>
      </w:pPr>
      <w:r>
        <w:rPr>
          <w:rFonts w:ascii="宋体" w:hAnsi="宋体" w:cs="宋体" w:hint="eastAsia"/>
        </w:rPr>
        <w:t>32.4.6不同投标人的投标保证金从同一单位或者个人的账户转出；</w:t>
      </w:r>
    </w:p>
    <w:p>
      <w:pPr>
        <w:ind w:firstLine="470" w:firstLineChars="196"/>
        <w:rPr>
          <w:rFonts w:ascii="宋体" w:hAnsi="宋体" w:cs="宋体" w:hint="eastAsia"/>
        </w:rPr>
      </w:pPr>
      <w:r>
        <w:rPr>
          <w:rFonts w:ascii="宋体" w:hAnsi="宋体" w:cs="宋体" w:hint="eastAsia"/>
        </w:rPr>
        <w:t>32.4.7投标人之间相互约定给予未中标的供应商利益补偿；</w:t>
      </w:r>
    </w:p>
    <w:p>
      <w:pPr>
        <w:ind w:firstLine="470" w:firstLineChars="196"/>
        <w:rPr>
          <w:rFonts w:ascii="宋体" w:hAnsi="宋体" w:cs="宋体" w:hint="eastAsia"/>
        </w:rPr>
      </w:pPr>
      <w:r>
        <w:rPr>
          <w:rFonts w:ascii="宋体" w:hAnsi="宋体" w:cs="宋体" w:hint="eastAsia"/>
        </w:rPr>
        <w:t>32.4.8不同投标人的法定代表人、主要经营负责人、项目投标授权代表人、项目负责人、主要技术人员为同一人、属同一单位或者同一单位缴纳社会保险；</w:t>
      </w:r>
    </w:p>
    <w:p>
      <w:pPr>
        <w:ind w:firstLine="470" w:firstLineChars="196"/>
        <w:rPr>
          <w:rFonts w:ascii="宋体" w:hAnsi="宋体" w:cs="宋体" w:hint="eastAsia"/>
        </w:rPr>
      </w:pPr>
      <w:r>
        <w:rPr>
          <w:rFonts w:ascii="宋体" w:hAnsi="宋体" w:cs="宋体" w:hint="eastAsia"/>
        </w:rPr>
        <w:t>32.4.9不同投标人的投标文件内容存在非正常一致；</w:t>
      </w:r>
    </w:p>
    <w:p>
      <w:pPr>
        <w:ind w:firstLine="470" w:firstLineChars="196"/>
        <w:rPr>
          <w:rFonts w:ascii="宋体" w:hAnsi="宋体" w:cs="宋体" w:hint="eastAsia"/>
        </w:rPr>
      </w:pPr>
      <w:r>
        <w:rPr>
          <w:rFonts w:ascii="宋体" w:hAnsi="宋体" w:cs="宋体" w:hint="eastAsia"/>
        </w:rPr>
        <w:t>32.4.10在同一单位工作人员为两家以上（含两家）供应商进行同一项投标活动；</w:t>
      </w:r>
    </w:p>
    <w:p>
      <w:pPr>
        <w:ind w:firstLine="470" w:firstLineChars="196"/>
        <w:rPr>
          <w:rFonts w:ascii="宋体" w:hAnsi="宋体" w:cs="宋体" w:hint="eastAsia"/>
        </w:rPr>
      </w:pPr>
      <w:r>
        <w:rPr>
          <w:rFonts w:ascii="宋体" w:hAnsi="宋体" w:cs="宋体" w:hint="eastAsia"/>
        </w:rPr>
        <w:t>32.4.11主管部门依照法律、法规认定的其他情形。</w:t>
      </w:r>
    </w:p>
    <w:p>
      <w:pPr>
        <w:ind w:firstLine="480" w:firstLineChars="200"/>
        <w:rPr>
          <w:rFonts w:ascii="宋体" w:hAnsi="宋体" w:cs="宋体" w:hint="eastAsia"/>
        </w:rPr>
      </w:pPr>
      <w:r>
        <w:rPr>
          <w:rFonts w:ascii="宋体" w:hAnsi="宋体" w:cs="宋体" w:hint="eastAsia"/>
        </w:rPr>
        <w:t>32.5对不属于《资格性审查表》和《符合性审查表》所列的其他情形，除专用条款另有规定和32.4条款所列情形外，不得作为投保无效的理由。</w:t>
      </w:r>
    </w:p>
    <w:p>
      <w:pPr>
        <w:rPr>
          <w:rFonts w:ascii="宋体" w:hAnsi="宋体" w:cs="宋体" w:hint="eastAsia"/>
          <w:sz w:val="24"/>
        </w:rPr>
      </w:pPr>
      <w:r>
        <w:rPr>
          <w:rFonts w:ascii="宋体" w:hAnsi="宋体" w:cs="宋体" w:hint="eastAsia"/>
          <w:sz w:val="24"/>
        </w:rPr>
        <w:t>33．澄清有关问题</w:t>
      </w:r>
    </w:p>
    <w:p>
      <w:pPr>
        <w:ind w:firstLine="470" w:firstLineChars="196"/>
        <w:rPr>
          <w:rFonts w:ascii="宋体" w:hAnsi="宋体" w:cs="宋体" w:hint="eastAsia"/>
        </w:rPr>
      </w:pPr>
      <w:r>
        <w:rPr>
          <w:rFonts w:ascii="宋体" w:hAnsi="宋体" w:cs="宋体" w:hint="eastAsia"/>
        </w:rPr>
        <w:t>对于投标文件中含义不明确、同类问题表述不一致或者有明显文字和计算错误的内容，评审委员会应当以书面形式要求投标人作出必要的澄清、说明或者补正。</w:t>
      </w:r>
    </w:p>
    <w:p>
      <w:pPr>
        <w:widowControl/>
        <w:jc w:val="left"/>
        <w:textAlignment w:val="baseline"/>
        <w:rPr>
          <w:rFonts w:ascii="宋体" w:hAnsi="宋体" w:cs="宋体" w:hint="eastAsia"/>
        </w:rPr>
      </w:pPr>
      <w:r>
        <w:rPr>
          <w:rFonts w:ascii="宋体" w:hAnsi="宋体" w:cs="宋体" w:hint="eastAsia"/>
        </w:rPr>
        <w:t>　　投标人的澄清、说明或者补正应当采用书面形式，并加盖公章，或者由法定代表人或其授权的代表签字。投标人的澄清、说明或者补正不得超出投标文件的范围或者改变投标文件的实质性内容。</w:t>
      </w:r>
    </w:p>
    <w:p>
      <w:pPr>
        <w:ind w:firstLine="470" w:firstLineChars="196"/>
        <w:rPr>
          <w:rFonts w:ascii="宋体" w:hAnsi="宋体" w:cs="宋体" w:hint="eastAsia"/>
          <w:szCs w:val="21"/>
        </w:rPr>
      </w:pPr>
      <w:r>
        <w:rPr>
          <w:rFonts w:ascii="宋体" w:hAnsi="宋体" w:cs="宋体" w:hint="eastAsia"/>
          <w:szCs w:val="21"/>
        </w:rPr>
        <w:t>根据本通用条款第34条，凡属于评审委员会在评审中发现的算术错误进行核实的修改不在此列。</w:t>
      </w:r>
    </w:p>
    <w:p>
      <w:pPr>
        <w:rPr>
          <w:rFonts w:ascii="宋体" w:hAnsi="宋体" w:cs="宋体" w:hint="eastAsia"/>
          <w:sz w:val="24"/>
        </w:rPr>
      </w:pPr>
      <w:bookmarkStart w:id="36" w:name="_Toc73518151"/>
      <w:bookmarkStart w:id="37" w:name="_Toc73521581"/>
      <w:bookmarkStart w:id="38" w:name="_Toc100052400"/>
      <w:bookmarkStart w:id="39" w:name="_Toc73517673"/>
      <w:bookmarkStart w:id="40" w:name="_Toc73521669"/>
      <w:r>
        <w:rPr>
          <w:rFonts w:ascii="宋体" w:hAnsi="宋体" w:cs="宋体" w:hint="eastAsia"/>
          <w:sz w:val="24"/>
        </w:rPr>
        <w:t>34．错误的修正</w:t>
      </w:r>
      <w:bookmarkEnd w:id="36"/>
      <w:bookmarkEnd w:id="37"/>
      <w:bookmarkEnd w:id="38"/>
      <w:bookmarkEnd w:id="39"/>
      <w:bookmarkEnd w:id="40"/>
    </w:p>
    <w:p>
      <w:pPr>
        <w:ind w:firstLine="470" w:firstLineChars="196"/>
        <w:rPr>
          <w:rFonts w:ascii="宋体" w:hAnsi="宋体" w:cs="宋体" w:hint="eastAsia"/>
          <w:szCs w:val="21"/>
        </w:rPr>
      </w:pPr>
      <w:r>
        <w:rPr>
          <w:rFonts w:ascii="宋体" w:hAnsi="宋体" w:cs="宋体" w:hint="eastAsia"/>
          <w:szCs w:val="21"/>
        </w:rPr>
        <w:t>投标文件报价出现前后不一致的，除专用条款另有规定外，按照下列规定修正：</w:t>
      </w:r>
    </w:p>
    <w:p>
      <w:pPr>
        <w:ind w:firstLine="470" w:firstLineChars="196"/>
        <w:rPr>
          <w:rFonts w:ascii="宋体" w:hAnsi="宋体" w:cs="宋体" w:hint="eastAsia"/>
          <w:szCs w:val="21"/>
        </w:rPr>
      </w:pPr>
      <w:r>
        <w:rPr>
          <w:rFonts w:ascii="宋体" w:hAnsi="宋体" w:cs="宋体" w:hint="eastAsia"/>
          <w:szCs w:val="21"/>
        </w:rPr>
        <w:t>34.1投标文件中开标一览表内容与投标文件中相应内容不一致的，以开标一览表为准；</w:t>
      </w:r>
    </w:p>
    <w:p>
      <w:pPr>
        <w:ind w:firstLine="470" w:firstLineChars="196"/>
        <w:rPr>
          <w:rFonts w:ascii="宋体" w:hAnsi="宋体" w:cs="宋体" w:hint="eastAsia"/>
          <w:szCs w:val="21"/>
        </w:rPr>
      </w:pPr>
      <w:r>
        <w:rPr>
          <w:rFonts w:ascii="宋体" w:hAnsi="宋体" w:cs="宋体" w:hint="eastAsia"/>
          <w:szCs w:val="21"/>
        </w:rPr>
        <w:t>34.2大写金额和小写金额不一致的，以大写金额为准；</w:t>
      </w:r>
    </w:p>
    <w:p>
      <w:pPr>
        <w:ind w:firstLine="470" w:firstLineChars="196"/>
        <w:rPr>
          <w:rFonts w:ascii="宋体" w:hAnsi="宋体" w:cs="宋体" w:hint="eastAsia"/>
          <w:szCs w:val="21"/>
        </w:rPr>
      </w:pPr>
      <w:r>
        <w:rPr>
          <w:rFonts w:ascii="宋体" w:hAnsi="宋体" w:cs="宋体" w:hint="eastAsia"/>
          <w:szCs w:val="21"/>
        </w:rPr>
        <w:t>34.3单价金额小数点或者百分比有明显错位，以开标一览表的总价为准，并修改单价；</w:t>
      </w:r>
    </w:p>
    <w:p>
      <w:pPr>
        <w:ind w:firstLine="470" w:firstLineChars="196"/>
        <w:rPr>
          <w:rFonts w:ascii="宋体" w:hAnsi="宋体" w:cs="宋体" w:hint="eastAsia"/>
          <w:szCs w:val="21"/>
        </w:rPr>
      </w:pPr>
      <w:r>
        <w:rPr>
          <w:rFonts w:ascii="宋体" w:hAnsi="宋体" w:cs="宋体" w:hint="eastAsia"/>
          <w:szCs w:val="21"/>
        </w:rPr>
        <w:t>34.4总价金额与按单价汇总金额不一致的，以单价金额计算结果为准。</w:t>
      </w:r>
    </w:p>
    <w:p>
      <w:pPr>
        <w:ind w:firstLine="470" w:firstLineChars="196"/>
        <w:rPr>
          <w:rFonts w:ascii="宋体" w:hAnsi="宋体" w:cs="宋体" w:hint="eastAsia"/>
          <w:szCs w:val="21"/>
        </w:rPr>
      </w:pPr>
      <w:r>
        <w:rPr>
          <w:rFonts w:ascii="宋体" w:hAnsi="宋体" w:cs="宋体" w:hint="eastAsia"/>
          <w:szCs w:val="21"/>
        </w:rPr>
        <w:t>34.5同时出现两种以上不一致的，按照前款规定的顺序修正。修正后的报价按照本通用条款33条的规定，经投标人确认后产生约束力，投标人不确认的，其投标无效。</w:t>
      </w:r>
    </w:p>
    <w:p>
      <w:pPr>
        <w:rPr>
          <w:rFonts w:ascii="宋体" w:hAnsi="宋体" w:cs="宋体" w:hint="eastAsia"/>
          <w:sz w:val="24"/>
        </w:rPr>
      </w:pPr>
      <w:r>
        <w:rPr>
          <w:rFonts w:ascii="宋体" w:hAnsi="宋体" w:cs="宋体" w:hint="eastAsia"/>
          <w:sz w:val="24"/>
        </w:rPr>
        <w:t>35．投标文件的比较与评价</w:t>
      </w:r>
    </w:p>
    <w:p>
      <w:pPr>
        <w:ind w:firstLine="470" w:firstLineChars="196"/>
        <w:rPr>
          <w:rFonts w:ascii="宋体" w:hAnsi="宋体" w:cs="宋体" w:hint="eastAsia"/>
          <w:szCs w:val="21"/>
        </w:rPr>
      </w:pPr>
      <w:r>
        <w:rPr>
          <w:rFonts w:ascii="宋体" w:hAnsi="宋体" w:cs="宋体" w:hint="eastAsia"/>
          <w:szCs w:val="21"/>
        </w:rPr>
        <w:t>评审委员会将按照《深圳经济特区政府采购条例》、《深圳经济特区政府采购条例实施细则》及《深圳市政府采购评审委员会）和评标方法暂行规定》，参照相关法律、法规、规定，仅对通过资格性审查和符合性审查的投标文件进行综合比较与评价。</w:t>
      </w:r>
    </w:p>
    <w:p>
      <w:pPr>
        <w:ind w:firstLine="470" w:firstLineChars="196"/>
        <w:rPr>
          <w:rFonts w:ascii="宋体" w:hAnsi="宋体" w:cs="宋体" w:hint="eastAsia"/>
          <w:szCs w:val="21"/>
        </w:rPr>
      </w:pPr>
      <w:r>
        <w:rPr>
          <w:rFonts w:ascii="宋体" w:hAnsi="宋体" w:cs="宋体" w:hint="eastAsia"/>
          <w:szCs w:val="21"/>
        </w:rPr>
        <w:t>评审委员会成员对需要共同认定的事项存在争议的，应当按照少数服从多数的原则作出结论。持不同意见的评审委员会成员应当在评标报告上签署不同意见及理由，否则视为同意评标报告。</w:t>
      </w:r>
    </w:p>
    <w:p>
      <w:pPr>
        <w:rPr>
          <w:rFonts w:ascii="宋体" w:hAnsi="宋体" w:cs="宋体" w:hint="eastAsia"/>
          <w:sz w:val="24"/>
        </w:rPr>
      </w:pPr>
      <w:r>
        <w:rPr>
          <w:rFonts w:ascii="宋体" w:hAnsi="宋体" w:cs="宋体" w:hint="eastAsia"/>
          <w:sz w:val="24"/>
        </w:rPr>
        <w:t>36.实地考察、演示或产品测试</w:t>
      </w:r>
    </w:p>
    <w:p>
      <w:pPr>
        <w:ind w:firstLine="470" w:firstLineChars="196"/>
        <w:rPr>
          <w:rFonts w:ascii="宋体" w:hAnsi="宋体" w:cs="宋体" w:hint="eastAsia"/>
          <w:szCs w:val="21"/>
        </w:rPr>
      </w:pPr>
      <w:r>
        <w:rPr>
          <w:rFonts w:ascii="宋体" w:hAnsi="宋体" w:cs="宋体" w:hint="eastAsia"/>
          <w:szCs w:val="21"/>
        </w:rPr>
        <w:t>36.1在招标过程中，评审委员会有权决定是否对本项目投标人进行现场勘察或实地考察或检验有关证明材料的原件。投标人应随时做好接受检查的准备。</w:t>
      </w:r>
    </w:p>
    <w:p>
      <w:pPr>
        <w:ind w:firstLine="470" w:firstLineChars="196"/>
        <w:rPr>
          <w:rFonts w:ascii="宋体" w:hAnsi="宋体" w:cs="宋体" w:hint="eastAsia"/>
          <w:szCs w:val="21"/>
        </w:rPr>
      </w:pPr>
      <w:r>
        <w:rPr>
          <w:rFonts w:ascii="宋体" w:hAnsi="宋体" w:cs="宋体" w:hint="eastAsia"/>
          <w:szCs w:val="21"/>
        </w:rPr>
        <w:t>36.2若招标文件要求进行现场演示或产品测试的，投标人应做好相应准备。</w:t>
      </w:r>
    </w:p>
    <w:p>
      <w:pPr>
        <w:rPr>
          <w:rFonts w:ascii="宋体" w:hAnsi="宋体" w:cs="宋体" w:hint="eastAsia"/>
          <w:sz w:val="24"/>
        </w:rPr>
      </w:pPr>
      <w:r>
        <w:rPr>
          <w:rFonts w:ascii="宋体" w:hAnsi="宋体" w:cs="宋体" w:hint="eastAsia"/>
          <w:sz w:val="24"/>
        </w:rPr>
        <w:t>37．评标方法</w:t>
      </w:r>
    </w:p>
    <w:p>
      <w:pPr>
        <w:ind w:firstLine="470" w:firstLineChars="196"/>
        <w:rPr>
          <w:rFonts w:ascii="宋体" w:hAnsi="宋体" w:cs="宋体" w:hint="eastAsia"/>
          <w:b/>
          <w:bCs/>
          <w:szCs w:val="21"/>
        </w:rPr>
      </w:pPr>
      <w:r>
        <w:rPr>
          <w:rFonts w:ascii="宋体" w:hAnsi="宋体" w:cs="宋体" w:hint="eastAsia"/>
          <w:b/>
          <w:bCs/>
          <w:szCs w:val="21"/>
        </w:rPr>
        <w:t>37.1最低价法</w:t>
      </w:r>
    </w:p>
    <w:p>
      <w:pPr>
        <w:ind w:firstLine="470" w:firstLineChars="196"/>
        <w:rPr>
          <w:rFonts w:ascii="宋体" w:hAnsi="宋体" w:cs="宋体" w:hint="eastAsia"/>
          <w:bCs/>
          <w:szCs w:val="21"/>
        </w:rPr>
      </w:pPr>
      <w:r>
        <w:rPr>
          <w:rFonts w:ascii="宋体" w:hAnsi="宋体" w:cs="宋体" w:hint="eastAsia"/>
        </w:rPr>
        <w:t>最低评标价法，是指投标文件满足招标文件全部实质性要求，且投标报价最低的投标人为中标候选人的评标方法。</w:t>
      </w:r>
    </w:p>
    <w:p>
      <w:pPr>
        <w:ind w:firstLine="470" w:firstLineChars="196"/>
        <w:rPr>
          <w:rFonts w:ascii="宋体" w:hAnsi="宋体" w:cs="宋体" w:hint="eastAsia"/>
          <w:b/>
          <w:bCs/>
          <w:szCs w:val="21"/>
        </w:rPr>
      </w:pPr>
      <w:r>
        <w:rPr>
          <w:rFonts w:ascii="宋体" w:hAnsi="宋体" w:cs="宋体" w:hint="eastAsia"/>
          <w:b/>
          <w:bCs/>
          <w:szCs w:val="21"/>
        </w:rPr>
        <w:t>37.1.2综合评分法</w:t>
      </w:r>
    </w:p>
    <w:p>
      <w:pPr>
        <w:ind w:firstLine="470" w:firstLineChars="196"/>
        <w:rPr>
          <w:rFonts w:ascii="宋体" w:hAnsi="宋体" w:cs="宋体" w:hint="eastAsia"/>
        </w:rPr>
      </w:pPr>
      <w:r>
        <w:rPr>
          <w:rFonts w:ascii="宋体" w:hAnsi="宋体" w:cs="宋体" w:hint="eastAsia"/>
        </w:rPr>
        <w:t>综合评分法，是指投标文件满足招标文件全部实质性要求，且按照评审因素的量化指标评审得分最高的投标人为中标候选人的评标方法。</w:t>
      </w:r>
    </w:p>
    <w:p>
      <w:pPr>
        <w:ind w:firstLine="470" w:firstLineChars="196"/>
        <w:rPr>
          <w:rFonts w:ascii="宋体" w:hAnsi="宋体" w:cs="宋体" w:hint="eastAsia"/>
          <w:b/>
          <w:bCs/>
          <w:szCs w:val="21"/>
        </w:rPr>
      </w:pPr>
      <w:r>
        <w:rPr>
          <w:rFonts w:ascii="宋体" w:hAnsi="宋体" w:cs="宋体" w:hint="eastAsia"/>
          <w:b/>
          <w:bCs/>
          <w:szCs w:val="21"/>
        </w:rPr>
        <w:t>37.1.3定性评审法</w:t>
      </w:r>
    </w:p>
    <w:p>
      <w:pPr>
        <w:ind w:firstLine="470" w:firstLineChars="196"/>
        <w:rPr>
          <w:rFonts w:ascii="宋体" w:hAnsi="宋体" w:cs="宋体" w:hint="eastAsia"/>
          <w:bCs/>
          <w:szCs w:val="21"/>
        </w:rPr>
      </w:pPr>
      <w:r>
        <w:rPr>
          <w:rFonts w:ascii="宋体" w:hAnsi="宋体" w:cs="宋体" w:hint="eastAsia"/>
          <w:kern w:val="0"/>
          <w:szCs w:val="21"/>
        </w:rPr>
        <w:t>定性评审法，是指按照招标文件规定的各项因素进行技术商务定性评审，对各投标文件是否满足招标文件实质性要求提出意见，指出投标文件的优点、缺陷、问题以及签订合同前应注意和澄清的事项，并形成评审报告。所有递交的投标文件不被判定为废标或者无效标的投标人，均推荐为候选中标候选人。</w:t>
      </w:r>
    </w:p>
    <w:p>
      <w:pPr>
        <w:ind w:firstLine="470" w:firstLineChars="196"/>
        <w:rPr>
          <w:rFonts w:ascii="宋体" w:hAnsi="宋体" w:cs="宋体" w:hint="eastAsia"/>
          <w:b/>
          <w:bCs/>
          <w:szCs w:val="21"/>
        </w:rPr>
      </w:pPr>
      <w:r>
        <w:rPr>
          <w:rFonts w:ascii="宋体" w:hAnsi="宋体" w:cs="宋体" w:hint="eastAsia"/>
          <w:b/>
          <w:bCs/>
          <w:szCs w:val="21"/>
        </w:rPr>
        <w:t>37.2 本项目采用的评标方法见本项目招标文件专用条款的相关内容。</w:t>
      </w:r>
    </w:p>
    <w:p>
      <w:pPr>
        <w:ind w:firstLine="470" w:firstLineChars="196"/>
        <w:rPr>
          <w:rFonts w:ascii="宋体" w:hAnsi="宋体" w:cs="宋体" w:hint="eastAsia"/>
          <w:szCs w:val="21"/>
        </w:rPr>
      </w:pPr>
    </w:p>
    <w:p>
      <w:pPr>
        <w:pStyle w:val="Heading2"/>
        <w:numPr>
          <w:ilvl w:val="0"/>
          <w:numId w:val="6"/>
        </w:numPr>
        <w:tabs>
          <w:tab w:val="left" w:pos="720"/>
        </w:tabs>
        <w:spacing w:before="120" w:beforeLines="50" w:after="120" w:afterLines="50"/>
        <w:rPr>
          <w:rFonts w:cs="宋体" w:hint="eastAsia"/>
          <w:b w:val="0"/>
          <w:bCs w:val="0"/>
          <w:sz w:val="28"/>
          <w:szCs w:val="28"/>
        </w:rPr>
      </w:pPr>
      <w:r>
        <w:rPr>
          <w:rFonts w:cs="宋体" w:hint="eastAsia"/>
          <w:b w:val="0"/>
          <w:bCs w:val="0"/>
          <w:sz w:val="28"/>
          <w:szCs w:val="28"/>
        </w:rPr>
        <w:t>定标及公示</w:t>
      </w:r>
    </w:p>
    <w:p>
      <w:pPr>
        <w:rPr>
          <w:rFonts w:ascii="宋体" w:hAnsi="宋体" w:cs="宋体" w:hint="eastAsia"/>
          <w:sz w:val="24"/>
        </w:rPr>
      </w:pPr>
      <w:r>
        <w:rPr>
          <w:rFonts w:ascii="宋体" w:hAnsi="宋体" w:cs="宋体" w:hint="eastAsia"/>
          <w:sz w:val="24"/>
        </w:rPr>
        <w:t>38．定标方法</w:t>
      </w:r>
    </w:p>
    <w:p>
      <w:pPr>
        <w:ind w:firstLine="470" w:firstLineChars="196"/>
        <w:rPr>
          <w:rFonts w:ascii="宋体" w:hAnsi="宋体" w:cs="宋体" w:hint="eastAsia"/>
          <w:szCs w:val="21"/>
        </w:rPr>
      </w:pPr>
      <w:r>
        <w:rPr>
          <w:rFonts w:ascii="宋体" w:hAnsi="宋体" w:cs="宋体" w:hint="eastAsia"/>
          <w:szCs w:val="21"/>
        </w:rPr>
        <w:t>38.1非评定分离项目定标方法</w:t>
      </w:r>
    </w:p>
    <w:p>
      <w:pPr>
        <w:ind w:firstLine="470" w:firstLineChars="196"/>
        <w:rPr>
          <w:rFonts w:ascii="宋体" w:hAnsi="宋体" w:cs="宋体" w:hint="eastAsia"/>
          <w:szCs w:val="21"/>
        </w:rPr>
      </w:pPr>
      <w:r>
        <w:rPr>
          <w:rFonts w:ascii="宋体" w:hAnsi="宋体" w:cs="宋体" w:hint="eastAsia"/>
          <w:szCs w:val="21"/>
        </w:rPr>
        <w:t>38.1.1评审委员会依据本项目招标文件所约定的评标方法进行评审和比较，向采购代理机构提交书面评标报告，并根据评标方法比较评价结果从优到劣进行排序，并推荐中标候选人或确定中标供应商。</w:t>
      </w:r>
    </w:p>
    <w:p>
      <w:pPr>
        <w:ind w:firstLine="470" w:firstLineChars="196"/>
        <w:rPr>
          <w:rFonts w:ascii="宋体" w:hAnsi="宋体" w:cs="宋体" w:hint="eastAsia"/>
          <w:szCs w:val="21"/>
        </w:rPr>
      </w:pPr>
      <w:r>
        <w:rPr>
          <w:rFonts w:ascii="宋体" w:hAnsi="宋体" w:cs="宋体" w:hint="eastAsia"/>
          <w:szCs w:val="21"/>
        </w:rPr>
        <w:t>38.1.2</w:t>
      </w:r>
      <w:r>
        <w:rPr>
          <w:rFonts w:ascii="宋体" w:hAnsi="宋体" w:cs="宋体" w:hint="eastAsia"/>
        </w:rPr>
        <w:t>采用最低评标价法的，评标结果按投标报价由低到高顺序排列。投标报价相同的并列。投标文件满足招标文件全部实质性要求且投标报价最低的投标人为排名第一的中标候选人。</w:t>
      </w:r>
    </w:p>
    <w:p>
      <w:pPr>
        <w:ind w:firstLine="470" w:firstLineChars="196"/>
        <w:rPr>
          <w:rFonts w:ascii="宋体" w:hAnsi="宋体" w:cs="宋体" w:hint="eastAsia"/>
          <w:szCs w:val="21"/>
        </w:rPr>
      </w:pPr>
      <w:r>
        <w:rPr>
          <w:rFonts w:ascii="宋体" w:hAnsi="宋体" w:cs="宋体" w:hint="eastAsia"/>
          <w:szCs w:val="21"/>
        </w:rPr>
        <w:t>38.1.3</w:t>
      </w:r>
      <w:r>
        <w:rPr>
          <w:rFonts w:ascii="宋体" w:hAnsi="宋体" w:cs="宋体" w:hint="eastAsia"/>
        </w:rPr>
        <w:t>采用综合评分法的，评标结果按评审后得分由高到低顺序排列。得分相同的，按投标报价由低到高顺序排列。得分且投标报价相同的并列。投标文件满足招标文件全部实质性要求，且按照评审因素的量化指标评审得分最高的投标人为排名第一的中标候选人。</w:t>
      </w:r>
    </w:p>
    <w:p>
      <w:pPr>
        <w:ind w:firstLine="470" w:firstLineChars="196"/>
        <w:rPr>
          <w:rFonts w:ascii="宋体" w:hAnsi="宋体" w:cs="宋体" w:hint="eastAsia"/>
          <w:szCs w:val="21"/>
        </w:rPr>
      </w:pPr>
      <w:r>
        <w:rPr>
          <w:rFonts w:ascii="宋体" w:hAnsi="宋体" w:cs="宋体" w:hint="eastAsia"/>
          <w:szCs w:val="21"/>
        </w:rPr>
        <w:t>38.2评定分离项目定标方法</w:t>
      </w:r>
    </w:p>
    <w:p>
      <w:pPr>
        <w:ind w:firstLine="470" w:firstLineChars="196"/>
        <w:rPr>
          <w:rFonts w:ascii="宋体" w:hAnsi="宋体" w:cs="宋体" w:hint="eastAsia"/>
          <w:szCs w:val="21"/>
        </w:rPr>
      </w:pPr>
      <w:r>
        <w:rPr>
          <w:rFonts w:ascii="宋体" w:hAnsi="宋体" w:cs="宋体" w:hint="eastAsia"/>
          <w:szCs w:val="21"/>
        </w:rPr>
        <w:t>38.2.1根据《深圳经济特区政府采购条例实施细则》等有关规定，并参考《深圳市政府采购评标定标分离管理办法》的相关规定执行。</w:t>
      </w:r>
    </w:p>
    <w:p>
      <w:pPr>
        <w:ind w:firstLine="470" w:firstLineChars="196"/>
        <w:rPr>
          <w:rFonts w:ascii="宋体" w:hAnsi="宋体" w:cs="宋体" w:hint="eastAsia"/>
          <w:szCs w:val="21"/>
        </w:rPr>
      </w:pPr>
      <w:r>
        <w:rPr>
          <w:rFonts w:ascii="宋体" w:hAnsi="宋体" w:cs="宋体" w:hint="eastAsia"/>
          <w:szCs w:val="21"/>
        </w:rPr>
        <w:t>38.3专用条款另有规定的，按专用条款相关要求定标。</w:t>
      </w:r>
    </w:p>
    <w:p>
      <w:pPr>
        <w:rPr>
          <w:rFonts w:ascii="宋体" w:hAnsi="宋体" w:cs="宋体" w:hint="eastAsia"/>
          <w:sz w:val="24"/>
        </w:rPr>
      </w:pPr>
      <w:r>
        <w:rPr>
          <w:rFonts w:ascii="宋体" w:hAnsi="宋体" w:cs="宋体" w:hint="eastAsia"/>
          <w:sz w:val="24"/>
        </w:rPr>
        <w:t>39．编写评标报告</w:t>
      </w:r>
    </w:p>
    <w:p>
      <w:pPr>
        <w:ind w:firstLine="470" w:firstLineChars="196"/>
        <w:rPr>
          <w:rFonts w:ascii="宋体" w:hAnsi="宋体" w:cs="宋体" w:hint="eastAsia"/>
          <w:szCs w:val="21"/>
        </w:rPr>
      </w:pPr>
      <w:r>
        <w:rPr>
          <w:rFonts w:ascii="宋体" w:hAnsi="宋体" w:cs="宋体" w:hint="eastAsia"/>
          <w:szCs w:val="21"/>
        </w:rPr>
        <w:t>评标报告是评审委员会根据全体评标成员签字的原始评标记录和评标结果编写的报告，评标报告由评审委员会全体成员签字。对评标结论持有异议的评审委员会成员可以书面方式阐述其不同意见和理由。评审委员会成员拒绝在评标报告上签字且不陈述其不同意见和理由的，视为同意评标结论。评审委员会应当对此作出书面说明并记录在案。</w:t>
      </w:r>
    </w:p>
    <w:p>
      <w:pPr>
        <w:rPr>
          <w:rFonts w:ascii="宋体" w:hAnsi="宋体" w:cs="宋体" w:hint="eastAsia"/>
          <w:sz w:val="24"/>
        </w:rPr>
      </w:pPr>
      <w:r>
        <w:rPr>
          <w:rFonts w:ascii="宋体" w:hAnsi="宋体" w:cs="宋体" w:hint="eastAsia"/>
          <w:sz w:val="24"/>
        </w:rPr>
        <w:t>40．中标结果公示</w:t>
      </w:r>
    </w:p>
    <w:p>
      <w:pPr>
        <w:ind w:firstLine="470" w:firstLineChars="196"/>
        <w:rPr>
          <w:rFonts w:ascii="宋体" w:hAnsi="宋体" w:cs="宋体" w:hint="eastAsia"/>
          <w:szCs w:val="21"/>
        </w:rPr>
      </w:pPr>
      <w:r>
        <w:rPr>
          <w:rFonts w:ascii="宋体" w:hAnsi="宋体" w:cs="宋体" w:hint="eastAsia"/>
          <w:szCs w:val="21"/>
        </w:rPr>
        <w:t>40.1为体现“公开、公平、公正”的原则，评标结束后，采购代理机构将在指定媒体上发布中标结果公示。供应商如对评标结果有异议，可在发布公示日期起七个工作日内向采购代理机构提出。若在公示期内未提出质疑，则视为认同该中标结果。</w:t>
      </w:r>
    </w:p>
    <w:p>
      <w:pPr>
        <w:ind w:firstLine="470" w:firstLineChars="196"/>
        <w:rPr>
          <w:rFonts w:ascii="宋体" w:hAnsi="宋体" w:cs="宋体" w:hint="eastAsia"/>
          <w:szCs w:val="21"/>
        </w:rPr>
      </w:pPr>
      <w:r>
        <w:rPr>
          <w:rFonts w:ascii="宋体" w:hAnsi="宋体" w:cs="宋体" w:hint="eastAsia"/>
          <w:szCs w:val="21"/>
        </w:rPr>
        <w:t>40.2质疑投诉人应保证质疑投诉内容的真实性和可靠性，并承担相应的法律责任。</w:t>
      </w:r>
    </w:p>
    <w:p>
      <w:pPr>
        <w:rPr>
          <w:rFonts w:ascii="宋体" w:hAnsi="宋体" w:cs="宋体" w:hint="eastAsia"/>
          <w:sz w:val="24"/>
        </w:rPr>
      </w:pPr>
      <w:r>
        <w:rPr>
          <w:rFonts w:ascii="宋体" w:hAnsi="宋体" w:cs="宋体" w:hint="eastAsia"/>
          <w:sz w:val="24"/>
        </w:rPr>
        <w:t>41．中标通知书</w:t>
      </w:r>
    </w:p>
    <w:p>
      <w:pPr>
        <w:ind w:firstLine="470" w:firstLineChars="196"/>
        <w:rPr>
          <w:rFonts w:ascii="宋体" w:hAnsi="宋体" w:cs="宋体" w:hint="eastAsia"/>
          <w:szCs w:val="21"/>
        </w:rPr>
      </w:pPr>
      <w:r>
        <w:rPr>
          <w:rFonts w:ascii="宋体" w:hAnsi="宋体" w:cs="宋体" w:hint="eastAsia"/>
          <w:szCs w:val="21"/>
        </w:rPr>
        <w:t>41.1中标公告公布以后,公示期内无有效质疑投诉,中标供应商在缴纳中标服务费后，可前往采购代理机构领取《中标通知书》原件或在政府采购平台下载对应扫描件。</w:t>
      </w:r>
    </w:p>
    <w:p>
      <w:pPr>
        <w:ind w:firstLine="470" w:firstLineChars="196"/>
        <w:rPr>
          <w:rFonts w:ascii="宋体" w:hAnsi="宋体" w:cs="宋体" w:hint="eastAsia"/>
          <w:szCs w:val="21"/>
        </w:rPr>
      </w:pPr>
      <w:r>
        <w:rPr>
          <w:rFonts w:ascii="宋体" w:hAnsi="宋体" w:cs="宋体" w:hint="eastAsia"/>
          <w:szCs w:val="21"/>
        </w:rPr>
        <w:t>41.2中标通知书是合同的重要组成部分。</w:t>
      </w:r>
    </w:p>
    <w:p>
      <w:pPr>
        <w:pStyle w:val="Heading2"/>
        <w:numPr>
          <w:ilvl w:val="0"/>
          <w:numId w:val="6"/>
        </w:numPr>
        <w:tabs>
          <w:tab w:val="left" w:pos="720"/>
        </w:tabs>
        <w:spacing w:before="120" w:beforeLines="50" w:after="120" w:afterLines="50"/>
        <w:rPr>
          <w:rFonts w:cs="宋体" w:hint="eastAsia"/>
          <w:b w:val="0"/>
          <w:bCs w:val="0"/>
          <w:sz w:val="28"/>
          <w:szCs w:val="28"/>
        </w:rPr>
      </w:pPr>
      <w:r>
        <w:rPr>
          <w:rFonts w:cs="宋体" w:hint="eastAsia"/>
          <w:b w:val="0"/>
          <w:bCs w:val="0"/>
          <w:sz w:val="28"/>
          <w:szCs w:val="28"/>
        </w:rPr>
        <w:t>公开招标失败的后续处理</w:t>
      </w:r>
    </w:p>
    <w:p>
      <w:pPr>
        <w:rPr>
          <w:rFonts w:ascii="宋体" w:hAnsi="宋体" w:cs="宋体" w:hint="eastAsia"/>
          <w:sz w:val="24"/>
        </w:rPr>
      </w:pPr>
      <w:r>
        <w:rPr>
          <w:rFonts w:ascii="宋体" w:hAnsi="宋体" w:cs="宋体" w:hint="eastAsia"/>
          <w:sz w:val="24"/>
        </w:rPr>
        <w:t>42．公开招标失败的处理</w:t>
      </w:r>
    </w:p>
    <w:p>
      <w:pPr>
        <w:ind w:firstLine="470" w:firstLineChars="196"/>
        <w:rPr>
          <w:rFonts w:ascii="宋体" w:hAnsi="宋体" w:cs="宋体" w:hint="eastAsia"/>
        </w:rPr>
      </w:pPr>
      <w:r>
        <w:rPr>
          <w:rFonts w:ascii="宋体" w:hAnsi="宋体" w:cs="宋体" w:hint="eastAsia"/>
          <w:szCs w:val="21"/>
        </w:rPr>
        <w:t>42.1本项目公开招标过程中若由于投标截止后</w:t>
      </w:r>
      <w:r>
        <w:rPr>
          <w:rFonts w:ascii="宋体" w:hAnsi="宋体" w:cs="宋体" w:hint="eastAsia"/>
        </w:rPr>
        <w:t>实际递交投标文件的供应商数量不足、经</w:t>
      </w:r>
      <w:r>
        <w:rPr>
          <w:rFonts w:ascii="宋体" w:hAnsi="宋体" w:cs="宋体" w:hint="eastAsia"/>
          <w:szCs w:val="21"/>
        </w:rPr>
        <w:t>评审委员会</w:t>
      </w:r>
      <w:r>
        <w:rPr>
          <w:rFonts w:ascii="宋体" w:hAnsi="宋体" w:cs="宋体" w:hint="eastAsia"/>
        </w:rPr>
        <w:t>评审对招标文件作实质响应的供应商不足等原因造成公开招标失败，经采购人同意，可由</w:t>
      </w:r>
      <w:r>
        <w:rPr>
          <w:rFonts w:ascii="宋体" w:hAnsi="宋体" w:cs="宋体" w:hint="eastAsia"/>
          <w:szCs w:val="21"/>
        </w:rPr>
        <w:t>采购代理机构</w:t>
      </w:r>
      <w:r>
        <w:rPr>
          <w:rFonts w:ascii="宋体" w:hAnsi="宋体" w:cs="宋体" w:hint="eastAsia"/>
        </w:rPr>
        <w:t>重新组织采购。</w:t>
      </w:r>
    </w:p>
    <w:p>
      <w:pPr>
        <w:ind w:firstLine="470" w:firstLineChars="196"/>
        <w:rPr>
          <w:rFonts w:ascii="宋体" w:hAnsi="宋体" w:cs="宋体" w:hint="eastAsia"/>
          <w:szCs w:val="21"/>
        </w:rPr>
      </w:pPr>
      <w:r>
        <w:rPr>
          <w:rFonts w:ascii="宋体" w:hAnsi="宋体" w:cs="宋体" w:hint="eastAsia"/>
          <w:szCs w:val="21"/>
        </w:rPr>
        <w:t>42.2对公开招标失败的项目，评审委员会在出具该项目招标失败结论的同时，提出重新采购组织形式的建议，以及进一步完善招标文件的资格、技术、商务要求的修改建议。</w:t>
      </w:r>
    </w:p>
    <w:p>
      <w:pPr>
        <w:ind w:firstLine="470" w:firstLineChars="196"/>
        <w:rPr>
          <w:rFonts w:ascii="宋体" w:hAnsi="宋体" w:cs="宋体" w:hint="eastAsia"/>
          <w:szCs w:val="21"/>
        </w:rPr>
      </w:pPr>
      <w:r>
        <w:rPr>
          <w:rFonts w:ascii="宋体" w:hAnsi="宋体" w:cs="宋体" w:hint="eastAsia"/>
          <w:szCs w:val="21"/>
        </w:rPr>
        <w:t>42.3重新组织采购有以下两种组织形式：</w:t>
      </w:r>
    </w:p>
    <w:p>
      <w:pPr>
        <w:ind w:firstLine="470" w:firstLineChars="196"/>
        <w:rPr>
          <w:rFonts w:ascii="宋体" w:hAnsi="宋体" w:cs="宋体" w:hint="eastAsia"/>
        </w:rPr>
      </w:pPr>
      <w:r>
        <w:rPr>
          <w:rFonts w:ascii="宋体" w:hAnsi="宋体" w:cs="宋体" w:hint="eastAsia"/>
        </w:rPr>
        <w:t>（1）由</w:t>
      </w:r>
      <w:r>
        <w:rPr>
          <w:rFonts w:ascii="宋体" w:hAnsi="宋体" w:cs="宋体" w:hint="eastAsia"/>
          <w:szCs w:val="21"/>
        </w:rPr>
        <w:t>采购代理机构</w:t>
      </w:r>
      <w:r>
        <w:rPr>
          <w:rFonts w:ascii="宋体" w:hAnsi="宋体" w:cs="宋体" w:hint="eastAsia"/>
        </w:rPr>
        <w:t>重新组织公开招标；</w:t>
      </w:r>
    </w:p>
    <w:p>
      <w:pPr>
        <w:ind w:firstLine="470" w:firstLineChars="196"/>
        <w:rPr>
          <w:rFonts w:ascii="宋体" w:hAnsi="宋体" w:cs="宋体" w:hint="eastAsia"/>
        </w:rPr>
      </w:pPr>
      <w:r>
        <w:rPr>
          <w:rFonts w:ascii="宋体" w:hAnsi="宋体" w:cs="宋体" w:hint="eastAsia"/>
        </w:rPr>
        <w:t>（2）由采购代理机构根据采购人书面要求及实际情况需要向政府采购监督管理部门提出非公开招标方式申请，经政府采购监督管理部门批准，公开招标失败采购项目可转为竞争性谈判或单一来源采购方式采购。</w:t>
      </w:r>
    </w:p>
    <w:p>
      <w:pPr>
        <w:ind w:firstLine="470" w:firstLineChars="196"/>
        <w:rPr>
          <w:rFonts w:ascii="宋体" w:hAnsi="宋体" w:cs="宋体" w:hint="eastAsia"/>
        </w:rPr>
      </w:pPr>
      <w:r>
        <w:rPr>
          <w:rFonts w:ascii="宋体" w:hAnsi="宋体" w:cs="宋体" w:hint="eastAsia"/>
        </w:rPr>
        <w:t>42.4公开招标失败的采购项目重新组织公开招标，由</w:t>
      </w:r>
      <w:r>
        <w:rPr>
          <w:rFonts w:ascii="宋体" w:hAnsi="宋体" w:cs="宋体" w:hint="eastAsia"/>
          <w:szCs w:val="21"/>
        </w:rPr>
        <w:t>采购代理机构</w:t>
      </w:r>
      <w:r>
        <w:rPr>
          <w:rFonts w:ascii="宋体" w:hAnsi="宋体" w:cs="宋体" w:hint="eastAsia"/>
        </w:rPr>
        <w:t>重新按公开招标流程组织采购活动。</w:t>
      </w:r>
    </w:p>
    <w:p>
      <w:pPr>
        <w:rPr>
          <w:rFonts w:ascii="宋体" w:hAnsi="宋体" w:cs="宋体" w:hint="eastAsia"/>
          <w:sz w:val="24"/>
        </w:rPr>
      </w:pPr>
      <w:r>
        <w:rPr>
          <w:rFonts w:ascii="宋体" w:hAnsi="宋体" w:cs="宋体" w:hint="eastAsia"/>
        </w:rPr>
        <w:t>42.5公开招标失败的采购项目经政府采购监督管理部门批准转为竞争性谈判或单一来源采购方式采购的，按规定要求组织政府采购工作。</w:t>
      </w:r>
    </w:p>
    <w:p>
      <w:pPr>
        <w:pStyle w:val="Heading2"/>
        <w:numPr>
          <w:ilvl w:val="0"/>
          <w:numId w:val="6"/>
        </w:numPr>
        <w:tabs>
          <w:tab w:val="left" w:pos="720"/>
        </w:tabs>
        <w:spacing w:before="120" w:beforeLines="50" w:after="120" w:afterLines="50"/>
        <w:rPr>
          <w:rFonts w:cs="宋体" w:hint="eastAsia"/>
          <w:b w:val="0"/>
          <w:bCs w:val="0"/>
          <w:sz w:val="28"/>
          <w:szCs w:val="28"/>
        </w:rPr>
      </w:pPr>
      <w:r>
        <w:rPr>
          <w:rFonts w:cs="宋体" w:hint="eastAsia"/>
          <w:b w:val="0"/>
          <w:bCs w:val="0"/>
          <w:sz w:val="28"/>
          <w:szCs w:val="28"/>
        </w:rPr>
        <w:t>合同的授予与备案</w:t>
      </w:r>
    </w:p>
    <w:p>
      <w:pPr>
        <w:rPr>
          <w:rFonts w:ascii="宋体" w:hAnsi="宋体" w:cs="宋体" w:hint="eastAsia"/>
          <w:sz w:val="24"/>
        </w:rPr>
      </w:pPr>
      <w:bookmarkStart w:id="41" w:name="_Toc73521674"/>
      <w:bookmarkStart w:id="42" w:name="_Toc100052408"/>
      <w:bookmarkStart w:id="43" w:name="_Toc73517679"/>
      <w:bookmarkStart w:id="44" w:name="_Toc73521586"/>
      <w:bookmarkStart w:id="45" w:name="_Toc73518157"/>
      <w:r>
        <w:rPr>
          <w:rFonts w:ascii="宋体" w:hAnsi="宋体" w:cs="宋体" w:hint="eastAsia"/>
          <w:sz w:val="24"/>
        </w:rPr>
        <w:t>43．合同授予标准</w:t>
      </w:r>
      <w:bookmarkEnd w:id="41"/>
      <w:bookmarkEnd w:id="42"/>
      <w:bookmarkEnd w:id="43"/>
      <w:bookmarkEnd w:id="44"/>
      <w:bookmarkEnd w:id="45"/>
    </w:p>
    <w:p>
      <w:pPr>
        <w:ind w:firstLine="470" w:firstLineChars="196"/>
        <w:rPr>
          <w:rFonts w:ascii="宋体" w:hAnsi="宋体" w:cs="宋体" w:hint="eastAsia"/>
          <w:szCs w:val="21"/>
        </w:rPr>
      </w:pPr>
      <w:r>
        <w:rPr>
          <w:rFonts w:ascii="宋体" w:hAnsi="宋体" w:cs="宋体" w:hint="eastAsia"/>
          <w:szCs w:val="21"/>
        </w:rPr>
        <w:t>本项目的合同将授予按本招标文件规定评审确定的中标人。</w:t>
      </w:r>
    </w:p>
    <w:p>
      <w:pPr>
        <w:rPr>
          <w:rFonts w:ascii="宋体" w:hAnsi="宋体" w:cs="宋体" w:hint="eastAsia"/>
          <w:sz w:val="24"/>
        </w:rPr>
      </w:pPr>
      <w:bookmarkStart w:id="46" w:name="_Toc73521587"/>
      <w:bookmarkStart w:id="47" w:name="_Toc73518158"/>
      <w:bookmarkStart w:id="48" w:name="_Toc73517680"/>
      <w:bookmarkStart w:id="49" w:name="_Toc100052409"/>
      <w:bookmarkStart w:id="50" w:name="_Toc73521675"/>
      <w:r>
        <w:rPr>
          <w:rFonts w:ascii="宋体" w:hAnsi="宋体" w:cs="宋体" w:hint="eastAsia"/>
          <w:sz w:val="24"/>
        </w:rPr>
        <w:t>44．</w:t>
      </w:r>
      <w:bookmarkEnd w:id="46"/>
      <w:bookmarkEnd w:id="47"/>
      <w:bookmarkEnd w:id="48"/>
      <w:bookmarkEnd w:id="49"/>
      <w:bookmarkEnd w:id="50"/>
      <w:r>
        <w:rPr>
          <w:rFonts w:ascii="宋体" w:hAnsi="宋体" w:cs="宋体" w:hint="eastAsia"/>
          <w:sz w:val="24"/>
        </w:rPr>
        <w:t>接受和拒绝任何或所有投标的权力</w:t>
      </w:r>
    </w:p>
    <w:p>
      <w:pPr>
        <w:ind w:firstLine="470" w:firstLineChars="196"/>
        <w:rPr>
          <w:rFonts w:ascii="宋体" w:hAnsi="宋体" w:cs="宋体" w:hint="eastAsia"/>
          <w:szCs w:val="21"/>
        </w:rPr>
      </w:pPr>
      <w:r>
        <w:rPr>
          <w:rFonts w:ascii="宋体" w:hAnsi="宋体" w:cs="宋体" w:hint="eastAsia"/>
          <w:szCs w:val="21"/>
        </w:rPr>
        <w:t>采购代理机构和采购人保留在投标之前任何时候接受或拒绝任何投标或所有投标，以及宣布招标无效的权力，对受影响的投标人不承担任何责任，也无义务向受影响的投标人解释采取这一行动的理由。</w:t>
      </w:r>
    </w:p>
    <w:p>
      <w:pPr>
        <w:rPr>
          <w:rFonts w:ascii="宋体" w:hAnsi="宋体" w:cs="宋体" w:hint="eastAsia"/>
          <w:sz w:val="24"/>
        </w:rPr>
      </w:pPr>
      <w:bookmarkStart w:id="51" w:name="_Toc100052410"/>
      <w:bookmarkStart w:id="52" w:name="_Toc73521589"/>
      <w:bookmarkStart w:id="53" w:name="_Toc73521677"/>
      <w:bookmarkStart w:id="54" w:name="_Toc73517682"/>
      <w:bookmarkStart w:id="55" w:name="_Toc73518160"/>
      <w:r>
        <w:rPr>
          <w:rFonts w:ascii="宋体" w:hAnsi="宋体" w:cs="宋体" w:hint="eastAsia"/>
          <w:sz w:val="24"/>
        </w:rPr>
        <w:t>45．合同协议书的签订</w:t>
      </w:r>
      <w:bookmarkEnd w:id="51"/>
      <w:bookmarkEnd w:id="52"/>
      <w:bookmarkEnd w:id="53"/>
      <w:bookmarkEnd w:id="54"/>
      <w:bookmarkEnd w:id="55"/>
    </w:p>
    <w:p>
      <w:pPr>
        <w:ind w:firstLine="470" w:firstLineChars="196"/>
        <w:rPr>
          <w:rFonts w:ascii="宋体" w:hAnsi="宋体" w:cs="宋体" w:hint="eastAsia"/>
          <w:szCs w:val="21"/>
        </w:rPr>
      </w:pPr>
      <w:r>
        <w:rPr>
          <w:rFonts w:ascii="宋体" w:hAnsi="宋体" w:cs="宋体" w:hint="eastAsia"/>
          <w:szCs w:val="21"/>
        </w:rPr>
        <w:t>45.1中标人应于中标通知书发出之日起十个工作日内，按照采购文件（招标文件和投标文件等）内容与采购人签订政府采购合同；合同的实质性内容应当符合招标文件的规定；</w:t>
      </w:r>
    </w:p>
    <w:p>
      <w:pPr>
        <w:ind w:firstLine="470" w:firstLineChars="196"/>
        <w:rPr>
          <w:rFonts w:ascii="宋体" w:hAnsi="宋体" w:cs="宋体" w:hint="eastAsia"/>
          <w:szCs w:val="21"/>
        </w:rPr>
      </w:pPr>
      <w:r>
        <w:rPr>
          <w:rFonts w:ascii="宋体" w:hAnsi="宋体" w:cs="宋体" w:hint="eastAsia"/>
          <w:szCs w:val="21"/>
        </w:rPr>
        <w:t>45.2中标人如不按本通用条款第45.1款的规定与采购人签订合同，则</w:t>
      </w:r>
      <w:r>
        <w:rPr>
          <w:rFonts w:ascii="宋体" w:hAnsi="宋体" w:cs="宋体" w:hint="eastAsia"/>
          <w:kern w:val="0"/>
          <w:szCs w:val="21"/>
        </w:rPr>
        <w:t>不予退还其交纳的投标保证金，情节严重的，并由主管部门记入供应商诚信档案，予以通报</w:t>
      </w:r>
      <w:r>
        <w:rPr>
          <w:rFonts w:ascii="宋体" w:hAnsi="宋体" w:cs="宋体" w:hint="eastAsia"/>
          <w:szCs w:val="21"/>
        </w:rPr>
        <w:t>；</w:t>
      </w:r>
    </w:p>
    <w:p>
      <w:pPr>
        <w:ind w:firstLine="470" w:firstLineChars="196"/>
        <w:rPr>
          <w:rFonts w:ascii="宋体" w:hAnsi="宋体" w:cs="宋体" w:hint="eastAsia"/>
          <w:szCs w:val="21"/>
        </w:rPr>
      </w:pPr>
      <w:r>
        <w:rPr>
          <w:rFonts w:ascii="宋体" w:hAnsi="宋体" w:cs="宋体" w:hint="eastAsia"/>
          <w:szCs w:val="21"/>
        </w:rPr>
        <w:t>45.3中标人应当按照合同约定履行义务，完成中标项目，不得将中标项目转让（转包）给他人。</w:t>
      </w:r>
    </w:p>
    <w:p>
      <w:pPr>
        <w:rPr>
          <w:rFonts w:ascii="宋体" w:hAnsi="宋体" w:cs="宋体" w:hint="eastAsia"/>
          <w:sz w:val="24"/>
        </w:rPr>
      </w:pPr>
      <w:bookmarkStart w:id="56" w:name="_Toc73518161"/>
      <w:bookmarkStart w:id="57" w:name="_Toc100052411"/>
      <w:bookmarkStart w:id="58" w:name="_Toc73521590"/>
      <w:bookmarkStart w:id="59" w:name="_Toc73517683"/>
      <w:bookmarkStart w:id="60" w:name="_Toc73521678"/>
      <w:r>
        <w:rPr>
          <w:rFonts w:ascii="宋体" w:hAnsi="宋体" w:cs="宋体" w:hint="eastAsia"/>
          <w:sz w:val="24"/>
        </w:rPr>
        <w:t>46．履约担保</w:t>
      </w:r>
      <w:bookmarkEnd w:id="56"/>
      <w:bookmarkEnd w:id="57"/>
      <w:bookmarkEnd w:id="58"/>
      <w:bookmarkEnd w:id="59"/>
      <w:bookmarkEnd w:id="60"/>
    </w:p>
    <w:p>
      <w:pPr>
        <w:ind w:firstLine="470" w:firstLineChars="196"/>
        <w:rPr>
          <w:rFonts w:ascii="宋体" w:hAnsi="宋体" w:cs="宋体" w:hint="eastAsia"/>
          <w:szCs w:val="21"/>
        </w:rPr>
      </w:pPr>
      <w:r>
        <w:rPr>
          <w:rFonts w:ascii="宋体" w:hAnsi="宋体" w:cs="宋体" w:hint="eastAsia"/>
          <w:szCs w:val="21"/>
        </w:rPr>
        <w:t>46.1在签订项目合同的同时，中标人应按“对通用条款的补充内容”中规定的金额向采购人提交履约保证金；</w:t>
      </w:r>
    </w:p>
    <w:p>
      <w:pPr>
        <w:ind w:firstLine="470" w:firstLineChars="196"/>
        <w:rPr>
          <w:rFonts w:ascii="宋体" w:hAnsi="宋体" w:cs="宋体" w:hint="eastAsia"/>
          <w:szCs w:val="21"/>
        </w:rPr>
      </w:pPr>
      <w:r>
        <w:rPr>
          <w:rFonts w:ascii="宋体" w:hAnsi="宋体" w:cs="宋体" w:hint="eastAsia"/>
          <w:szCs w:val="21"/>
        </w:rPr>
        <w:t>46.2如果中标人不能按“对通用条款的补充内容”中规定的金额向采购人提交履约保证金，采购人将有充分的理由通过政府采购监督管理部门废除中标资格，并没收投标保证金，给采购人造成的损失超过投标保证金数额的，还应当对超过部分予以赔偿；</w:t>
      </w:r>
    </w:p>
    <w:p>
      <w:pPr>
        <w:ind w:firstLine="470" w:firstLineChars="196"/>
        <w:rPr>
          <w:rFonts w:ascii="宋体" w:hAnsi="宋体" w:cs="宋体" w:hint="eastAsia"/>
          <w:szCs w:val="21"/>
        </w:rPr>
      </w:pPr>
      <w:r>
        <w:rPr>
          <w:rFonts w:ascii="宋体" w:hAnsi="宋体" w:cs="宋体" w:hint="eastAsia"/>
          <w:szCs w:val="21"/>
        </w:rPr>
        <w:t>46.3项目</w:t>
      </w:r>
      <w:r>
        <w:rPr>
          <w:rFonts w:ascii="宋体" w:hAnsi="宋体" w:cs="宋体" w:hint="eastAsia"/>
        </w:rPr>
        <w:t>合同期限届满</w:t>
      </w:r>
      <w:r>
        <w:rPr>
          <w:rFonts w:ascii="宋体" w:hAnsi="宋体" w:cs="宋体" w:hint="eastAsia"/>
          <w:szCs w:val="21"/>
        </w:rPr>
        <w:t>之后,经验收合格后，采购人在七日内办理解除履约担保手续。</w:t>
      </w:r>
    </w:p>
    <w:p>
      <w:pPr>
        <w:rPr>
          <w:rFonts w:ascii="宋体" w:hAnsi="宋体" w:cs="宋体" w:hint="eastAsia"/>
          <w:sz w:val="24"/>
        </w:rPr>
      </w:pPr>
      <w:r>
        <w:rPr>
          <w:rFonts w:ascii="宋体" w:hAnsi="宋体" w:cs="宋体" w:hint="eastAsia"/>
          <w:sz w:val="24"/>
        </w:rPr>
        <w:t>47.合同的备案</w:t>
      </w:r>
    </w:p>
    <w:p>
      <w:pPr>
        <w:ind w:firstLine="470" w:firstLineChars="196"/>
        <w:rPr>
          <w:rFonts w:ascii="宋体" w:hAnsi="宋体" w:cs="宋体" w:hint="eastAsia"/>
          <w:szCs w:val="21"/>
        </w:rPr>
      </w:pPr>
      <w:r>
        <w:rPr>
          <w:rFonts w:ascii="宋体" w:hAnsi="宋体" w:cs="宋体" w:hint="eastAsia"/>
          <w:szCs w:val="21"/>
        </w:rPr>
        <w:t>采购人与中标人应于合同签订之日起十日内，由采购人或委托中标人将采购合同副本抄送政府集中采购机构备案。</w:t>
      </w:r>
    </w:p>
    <w:p>
      <w:pPr>
        <w:rPr>
          <w:rFonts w:ascii="宋体" w:hAnsi="宋体" w:cs="宋体" w:hint="eastAsia"/>
          <w:sz w:val="24"/>
        </w:rPr>
      </w:pPr>
      <w:r>
        <w:rPr>
          <w:rFonts w:ascii="宋体" w:hAnsi="宋体" w:cs="宋体" w:hint="eastAsia"/>
          <w:sz w:val="24"/>
        </w:rPr>
        <w:t>48. 合同的变更</w:t>
      </w:r>
    </w:p>
    <w:p>
      <w:pPr>
        <w:ind w:firstLine="470" w:firstLineChars="196"/>
        <w:rPr>
          <w:rFonts w:ascii="宋体" w:hAnsi="宋体" w:cs="宋体" w:hint="eastAsia"/>
          <w:szCs w:val="21"/>
        </w:rPr>
      </w:pPr>
      <w:r>
        <w:rPr>
          <w:rFonts w:ascii="宋体" w:hAnsi="宋体" w:cs="宋体" w:hint="eastAsia"/>
          <w:szCs w:val="21"/>
        </w:rPr>
        <w:t>合同变更事宜按《深圳市财政局深圳市政府采购中心关于进一步加强市本级政府采购合同备案管理工作的通知》（深财购〔2019〕43号）相关规定执行。</w:t>
      </w:r>
    </w:p>
    <w:p>
      <w:pPr>
        <w:rPr>
          <w:rFonts w:ascii="宋体" w:hAnsi="宋体" w:cs="宋体" w:hint="eastAsia"/>
          <w:sz w:val="24"/>
        </w:rPr>
      </w:pPr>
      <w:r>
        <w:rPr>
          <w:rFonts w:ascii="宋体" w:hAnsi="宋体" w:cs="宋体" w:hint="eastAsia"/>
          <w:sz w:val="24"/>
        </w:rPr>
        <w:t>49. 履约抽检及情况的反馈</w:t>
      </w:r>
    </w:p>
    <w:p>
      <w:pPr>
        <w:widowControl/>
        <w:ind w:right="176" w:firstLine="420"/>
        <w:jc w:val="left"/>
        <w:rPr>
          <w:rFonts w:ascii="宋体" w:hAnsi="宋体" w:cs="宋体" w:hint="eastAsia"/>
        </w:rPr>
      </w:pPr>
      <w:r>
        <w:rPr>
          <w:rFonts w:ascii="宋体" w:hAnsi="宋体" w:cs="宋体" w:hint="eastAsia"/>
        </w:rPr>
        <w:t>49.1供应商必须诚信履约，采购人必须对采购项目实施组织履约验收。必要时，深圳市政府采购中心将对采购项目进行履约抽检评价。如未按合同履约，将按《深圳经济特区政府采购条例》第五十七条有关规定、《深圳市政府采购供应商诚信管理暂行办法》及其操作细则进行处理。</w:t>
      </w:r>
    </w:p>
    <w:p>
      <w:pPr>
        <w:widowControl/>
        <w:ind w:right="176" w:firstLine="420"/>
        <w:jc w:val="left"/>
        <w:rPr>
          <w:rFonts w:ascii="宋体" w:hAnsi="宋体" w:cs="宋体" w:hint="eastAsia"/>
        </w:rPr>
      </w:pPr>
      <w:r>
        <w:rPr>
          <w:rFonts w:ascii="宋体" w:hAnsi="宋体" w:cs="宋体" w:hint="eastAsia"/>
        </w:rPr>
        <w:t>49.2采购人和供应商应当在采购合同履行完毕三十日之内将政府采购合同履行情况和相关政府采购建议等反馈至政府集中采购机构。</w:t>
      </w:r>
    </w:p>
    <w:p>
      <w:pPr>
        <w:rPr>
          <w:rFonts w:ascii="宋体" w:hAnsi="宋体" w:cs="宋体" w:hint="eastAsia"/>
          <w:sz w:val="24"/>
        </w:rPr>
      </w:pPr>
      <w:r>
        <w:rPr>
          <w:rFonts w:ascii="宋体" w:hAnsi="宋体" w:cs="宋体" w:hint="eastAsia"/>
          <w:sz w:val="24"/>
        </w:rPr>
        <w:t>50. 宣传</w:t>
      </w:r>
    </w:p>
    <w:p>
      <w:pPr>
        <w:ind w:left="240" w:firstLine="470" w:leftChars="100" w:firstLineChars="196"/>
        <w:rPr>
          <w:rFonts w:ascii="宋体" w:hAnsi="宋体" w:cs="宋体" w:hint="eastAsia"/>
        </w:rPr>
      </w:pPr>
      <w:r>
        <w:rPr>
          <w:rFonts w:ascii="宋体" w:hAnsi="宋体" w:cs="宋体" w:hint="eastAsia"/>
        </w:rPr>
        <w:t>凡与政府采购活动有关的宣传或广告，若当中提及政府采购，必须事先将具体对外宣传方案报市财政局和政府集中采购机构，并征得其同意。对外市场宣传包括但不限于以下形式：</w:t>
      </w:r>
    </w:p>
    <w:p>
      <w:pPr>
        <w:ind w:left="240" w:firstLine="470" w:leftChars="100" w:firstLineChars="196"/>
        <w:rPr>
          <w:rFonts w:ascii="宋体" w:hAnsi="宋体" w:cs="宋体" w:hint="eastAsia"/>
        </w:rPr>
      </w:pPr>
      <w:r>
        <w:rPr>
          <w:rFonts w:ascii="宋体" w:hAnsi="宋体" w:cs="宋体" w:hint="eastAsia"/>
        </w:rPr>
        <w:t>a.名片、宣传册、广告标语等；</w:t>
      </w:r>
    </w:p>
    <w:p>
      <w:pPr>
        <w:ind w:left="240" w:firstLine="470" w:leftChars="100" w:firstLineChars="196"/>
        <w:rPr>
          <w:rFonts w:ascii="宋体" w:hAnsi="宋体" w:cs="宋体" w:hint="eastAsia"/>
        </w:rPr>
      </w:pPr>
      <w:r>
        <w:rPr>
          <w:rFonts w:ascii="宋体" w:hAnsi="宋体" w:cs="宋体" w:hint="eastAsia"/>
        </w:rPr>
        <w:t>b.案例介绍、推广等；</w:t>
      </w:r>
    </w:p>
    <w:p>
      <w:pPr>
        <w:ind w:left="240" w:firstLine="470" w:leftChars="100" w:firstLineChars="196"/>
        <w:rPr>
          <w:rFonts w:ascii="宋体" w:hAnsi="宋体" w:cs="宋体" w:hint="eastAsia"/>
        </w:rPr>
      </w:pPr>
      <w:r>
        <w:rPr>
          <w:rFonts w:ascii="宋体" w:hAnsi="宋体" w:cs="宋体" w:hint="eastAsia"/>
        </w:rPr>
        <w:t>c.工作人员向其他消费群体宣传。</w:t>
      </w:r>
    </w:p>
    <w:p>
      <w:pPr>
        <w:rPr>
          <w:rFonts w:ascii="宋体" w:hAnsi="宋体" w:cs="宋体" w:hint="eastAsia"/>
          <w:sz w:val="24"/>
        </w:rPr>
      </w:pPr>
      <w:r>
        <w:rPr>
          <w:rFonts w:ascii="宋体" w:hAnsi="宋体" w:cs="宋体" w:hint="eastAsia"/>
          <w:sz w:val="24"/>
        </w:rPr>
        <w:t>51.供应商违法责任</w:t>
      </w:r>
    </w:p>
    <w:p>
      <w:pPr>
        <w:ind w:firstLine="470" w:firstLineChars="196"/>
        <w:rPr>
          <w:rFonts w:ascii="宋体" w:hAnsi="宋体" w:cs="宋体" w:hint="eastAsia"/>
          <w:szCs w:val="21"/>
        </w:rPr>
      </w:pPr>
      <w:r>
        <w:rPr>
          <w:rFonts w:ascii="宋体" w:hAnsi="宋体" w:cs="宋体" w:hint="eastAsia"/>
          <w:szCs w:val="21"/>
        </w:rPr>
        <w:t>《深圳经济特区政府采购条例》第五十七条供应商在政府采购中，有下列行为之一的，一至三年内禁止其参与本市政府采购，并由主管部门记入供应商诚信档案，处以采购金额千分之十以上千分之二十以下的罚款；情节严重的，取消其参与本市政府采购资格，处以采购金额千分之二十以上千分之三十以下的罚款，并由市场监管部门依法吊销其营业执照；给他人造成损失的，依法承担赔偿责任；涉嫌犯罪的，依法移送司法机关处理：</w:t>
      </w:r>
    </w:p>
    <w:p>
      <w:pPr>
        <w:ind w:firstLine="470" w:firstLineChars="196"/>
        <w:rPr>
          <w:rFonts w:ascii="宋体" w:hAnsi="宋体" w:cs="宋体" w:hint="eastAsia"/>
          <w:szCs w:val="21"/>
        </w:rPr>
      </w:pPr>
      <w:r>
        <w:rPr>
          <w:rFonts w:ascii="宋体" w:hAnsi="宋体" w:cs="宋体" w:hint="eastAsia"/>
          <w:szCs w:val="21"/>
        </w:rPr>
        <w:t>（1）在采购活动中应当回避而未回避的；</w:t>
      </w:r>
    </w:p>
    <w:p>
      <w:pPr>
        <w:ind w:firstLine="470" w:firstLineChars="196"/>
        <w:rPr>
          <w:rFonts w:ascii="宋体" w:hAnsi="宋体" w:cs="宋体" w:hint="eastAsia"/>
          <w:szCs w:val="21"/>
        </w:rPr>
      </w:pPr>
      <w:r>
        <w:rPr>
          <w:rFonts w:ascii="宋体" w:hAnsi="宋体" w:cs="宋体" w:hint="eastAsia"/>
          <w:szCs w:val="21"/>
        </w:rPr>
        <w:t>（2）未按本条例规定签订、履行采购合同，造成严重后果的；</w:t>
      </w:r>
    </w:p>
    <w:p>
      <w:pPr>
        <w:ind w:firstLine="470" w:firstLineChars="196"/>
        <w:rPr>
          <w:rFonts w:ascii="宋体" w:hAnsi="宋体" w:cs="宋体" w:hint="eastAsia"/>
          <w:szCs w:val="21"/>
        </w:rPr>
      </w:pPr>
      <w:r>
        <w:rPr>
          <w:rFonts w:ascii="宋体" w:hAnsi="宋体" w:cs="宋体" w:hint="eastAsia"/>
          <w:szCs w:val="21"/>
        </w:rPr>
        <w:t>（3）隐瞒真实情况，提供虚假资料的；</w:t>
      </w:r>
    </w:p>
    <w:p>
      <w:pPr>
        <w:ind w:firstLine="470" w:firstLineChars="196"/>
        <w:rPr>
          <w:rFonts w:ascii="宋体" w:hAnsi="宋体" w:cs="宋体" w:hint="eastAsia"/>
          <w:szCs w:val="21"/>
        </w:rPr>
      </w:pPr>
      <w:r>
        <w:rPr>
          <w:rFonts w:ascii="宋体" w:hAnsi="宋体" w:cs="宋体" w:hint="eastAsia"/>
          <w:szCs w:val="21"/>
        </w:rPr>
        <w:t>（4）以非法手段排斥其他供应商参与竞争的；</w:t>
      </w:r>
    </w:p>
    <w:p>
      <w:pPr>
        <w:ind w:firstLine="470" w:firstLineChars="196"/>
        <w:rPr>
          <w:rFonts w:ascii="宋体" w:hAnsi="宋体" w:cs="宋体" w:hint="eastAsia"/>
          <w:szCs w:val="21"/>
        </w:rPr>
      </w:pPr>
      <w:r>
        <w:rPr>
          <w:rFonts w:ascii="宋体" w:hAnsi="宋体" w:cs="宋体" w:hint="eastAsia"/>
          <w:szCs w:val="21"/>
        </w:rPr>
        <w:t>（5）与其他采购参加人串通投标的；</w:t>
      </w:r>
    </w:p>
    <w:p>
      <w:pPr>
        <w:ind w:firstLine="470" w:firstLineChars="196"/>
        <w:rPr>
          <w:rFonts w:ascii="宋体" w:hAnsi="宋体" w:cs="宋体" w:hint="eastAsia"/>
          <w:szCs w:val="21"/>
        </w:rPr>
      </w:pPr>
      <w:r>
        <w:rPr>
          <w:rFonts w:ascii="宋体" w:hAnsi="宋体" w:cs="宋体" w:hint="eastAsia"/>
          <w:szCs w:val="21"/>
        </w:rPr>
        <w:t>（6）恶意投诉的；</w:t>
      </w:r>
    </w:p>
    <w:p>
      <w:pPr>
        <w:ind w:firstLine="470" w:firstLineChars="196"/>
        <w:rPr>
          <w:rFonts w:ascii="宋体" w:hAnsi="宋体" w:cs="宋体" w:hint="eastAsia"/>
          <w:szCs w:val="21"/>
        </w:rPr>
      </w:pPr>
      <w:r>
        <w:rPr>
          <w:rFonts w:ascii="宋体" w:hAnsi="宋体" w:cs="宋体" w:hint="eastAsia"/>
          <w:szCs w:val="21"/>
        </w:rPr>
        <w:t>（7）向采购项目相关人行贿或者提供其他不当利益的；</w:t>
      </w:r>
    </w:p>
    <w:p>
      <w:pPr>
        <w:ind w:firstLine="470" w:firstLineChars="196"/>
        <w:rPr>
          <w:rFonts w:ascii="宋体" w:hAnsi="宋体" w:cs="宋体" w:hint="eastAsia"/>
          <w:szCs w:val="21"/>
        </w:rPr>
      </w:pPr>
      <w:r>
        <w:rPr>
          <w:rFonts w:ascii="宋体" w:hAnsi="宋体" w:cs="宋体" w:hint="eastAsia"/>
          <w:szCs w:val="21"/>
        </w:rPr>
        <w:t>（8）阻碍、抗拒主管部门监督检查的；</w:t>
      </w:r>
    </w:p>
    <w:p>
      <w:pPr>
        <w:ind w:firstLine="470" w:firstLineChars="196"/>
        <w:rPr>
          <w:rFonts w:ascii="宋体" w:hAnsi="宋体" w:cs="宋体" w:hint="eastAsia"/>
          <w:szCs w:val="21"/>
        </w:rPr>
      </w:pPr>
      <w:r>
        <w:rPr>
          <w:rFonts w:ascii="宋体" w:hAnsi="宋体" w:cs="宋体" w:hint="eastAsia"/>
          <w:szCs w:val="21"/>
        </w:rPr>
        <w:t>（9）其他违反本条例规定的行为。</w:t>
      </w:r>
    </w:p>
    <w:p>
      <w:pPr>
        <w:pStyle w:val="BodyText"/>
        <w:spacing w:line="240" w:lineRule="auto"/>
        <w:ind w:firstLine="480" w:firstLineChars="200"/>
        <w:rPr>
          <w:rFonts w:ascii="宋体" w:hAnsi="宋体" w:cs="宋体" w:hint="eastAsia"/>
          <w:b w:val="0"/>
          <w:bCs w:val="0"/>
          <w:sz w:val="21"/>
          <w:szCs w:val="21"/>
        </w:rPr>
      </w:pPr>
      <w:r>
        <w:rPr>
          <w:rFonts w:ascii="宋体" w:hAnsi="宋体" w:cs="宋体" w:hint="eastAsia"/>
          <w:b w:val="0"/>
          <w:bCs w:val="0"/>
          <w:sz w:val="21"/>
          <w:szCs w:val="21"/>
        </w:rPr>
        <w:t>若供应商在政府采购活动中出现《深圳经济特区政府采购条例实施细则》第八十四条规定情形的，采购人或采购代理机构可将有关情况报同级财政部门，由财政部门根据实际情况记入供应商诚信档案，予以通报。市、区财政部门将加大对违法违规供应商的惩戒力度，实施联合惩戒。</w:t>
      </w:r>
    </w:p>
    <w:p>
      <w:pPr>
        <w:pStyle w:val="Heading2"/>
        <w:numPr>
          <w:ilvl w:val="0"/>
          <w:numId w:val="6"/>
        </w:numPr>
        <w:tabs>
          <w:tab w:val="left" w:pos="720"/>
        </w:tabs>
        <w:spacing w:before="120" w:beforeLines="50" w:after="120" w:afterLines="50"/>
        <w:ind w:left="482" w:hanging="482"/>
        <w:rPr>
          <w:rFonts w:cs="宋体" w:hint="eastAsia"/>
          <w:b w:val="0"/>
          <w:bCs w:val="0"/>
          <w:sz w:val="28"/>
          <w:szCs w:val="21"/>
        </w:rPr>
      </w:pPr>
      <w:r>
        <w:rPr>
          <w:rFonts w:cs="宋体" w:hint="eastAsia"/>
          <w:b w:val="0"/>
          <w:bCs w:val="0"/>
          <w:sz w:val="28"/>
          <w:szCs w:val="21"/>
        </w:rPr>
        <w:t>质疑处理</w:t>
      </w:r>
    </w:p>
    <w:p>
      <w:pPr>
        <w:pStyle w:val="a1"/>
        <w:ind w:firstLine="480" w:firstLineChars="200"/>
        <w:rPr>
          <w:rFonts w:ascii="宋体" w:hAnsi="宋体" w:cs="宋体" w:hint="eastAsia"/>
        </w:rPr>
      </w:pPr>
      <w:r>
        <w:rPr>
          <w:rFonts w:ascii="宋体" w:hAnsi="宋体" w:cs="宋体" w:hint="eastAsia"/>
        </w:rPr>
        <w:t>52.质疑处理按《深圳市政府采购供应商质疑处理办法》（深府购〔2017〕28号）及《深圳市财政局员会关于执行财政部94号令质疑答复后续处理规定的意见》（深财购函[2018]3924号）执行。</w:t>
      </w:r>
    </w:p>
    <w:p>
      <w:pPr>
        <w:pStyle w:val="a1"/>
        <w:ind w:firstLine="480" w:firstLineChars="200"/>
      </w:pPr>
      <w:r>
        <w:rPr>
          <w:rFonts w:hint="eastAsia"/>
        </w:rPr>
        <w:t>重要提示：“提出采购文件澄清要求”不等同于“对采购文件质疑”，供应商提出的澄清要求内容如出现“质疑”字眼，将予以退回。供应商如认为采购文件存在限制性、倾向性、其权益受到损害，应在采购文件公布之日起七个工作日内以书面形式提出质疑。</w:t>
      </w:r>
    </w:p>
    <w:p>
      <w:pPr>
        <w:rPr>
          <w:rFonts w:ascii="宋体" w:hAnsi="宋体" w:cs="宋体" w:hint="eastAsia"/>
          <w:sz w:val="24"/>
        </w:rPr>
      </w:pPr>
    </w:p>
    <w:p>
      <w:pPr>
        <w:rPr>
          <w:rFonts w:ascii="宋体" w:hAnsi="宋体" w:cs="宋体" w:hint="eastAsia"/>
          <w:sz w:val="24"/>
        </w:rPr>
      </w:pPr>
      <w:r>
        <w:rPr>
          <w:rFonts w:ascii="宋体" w:hAnsi="宋体" w:cs="宋体" w:hint="eastAsia"/>
          <w:sz w:val="24"/>
        </w:rPr>
        <w:t>53.质疑成立且影响或者可能影响中标、成交结果的处理</w:t>
      </w:r>
    </w:p>
    <w:p>
      <w:pPr>
        <w:autoSpaceDE w:val="0"/>
        <w:autoSpaceDN w:val="0"/>
        <w:adjustRightInd w:val="0"/>
        <w:ind w:firstLine="420"/>
        <w:jc w:val="left"/>
        <w:rPr>
          <w:rFonts w:ascii="宋体" w:hAnsi="宋体" w:cs="宋体" w:hint="eastAsia"/>
          <w:szCs w:val="21"/>
        </w:rPr>
      </w:pPr>
      <w:r>
        <w:rPr>
          <w:rFonts w:ascii="宋体" w:hAnsi="宋体" w:cs="宋体" w:hint="eastAsia"/>
          <w:szCs w:val="21"/>
        </w:rPr>
        <w:t>53.1 根据《深圳市财政局员会关于执行财政部94 号令质疑答复后续处理规定的意见》（深财购函〔2018〕3924 号），供应商质疑成立且影响或者可能影响中标、成交结果的，如果合格供应商符合法定数量，依法从合格的中标或者成交候选人中另行确定中标、成交供应商的；如果合格供应商不符合法定数量，依法重新开展采购活动。</w:t>
      </w:r>
    </w:p>
    <w:p>
      <w:pPr>
        <w:pStyle w:val="BodyText"/>
        <w:ind w:firstLine="420"/>
        <w:rPr>
          <w:rFonts w:ascii="宋体" w:hAnsi="宋体" w:cs="宋体" w:hint="eastAsia"/>
        </w:rPr>
      </w:pPr>
    </w:p>
    <w:p>
      <w:pPr>
        <w:autoSpaceDE w:val="0"/>
        <w:autoSpaceDN w:val="0"/>
        <w:adjustRightInd w:val="0"/>
        <w:jc w:val="left"/>
        <w:rPr>
          <w:rFonts w:ascii="宋体" w:hAnsi="宋体" w:cs="宋体" w:hint="eastAsia"/>
        </w:rPr>
      </w:pPr>
      <w:r>
        <w:rPr>
          <w:rFonts w:ascii="宋体" w:hAnsi="宋体" w:cs="宋体" w:hint="eastAsia"/>
          <w:szCs w:val="21"/>
        </w:rPr>
        <w:t xml:space="preserve">    53.2 质疑答复导致中标、成交结果改变的，采购代理机构依法将有关情况向深圳市财政局书面报告。供应商对质疑处理结果不满，可依法向深圳市财政局提起投诉。</w:t>
      </w:r>
    </w:p>
    <w:p>
      <w:pPr>
        <w:pStyle w:val="Heading2"/>
        <w:numPr>
          <w:ilvl w:val="0"/>
          <w:numId w:val="6"/>
        </w:numPr>
        <w:tabs>
          <w:tab w:val="left" w:pos="720"/>
        </w:tabs>
        <w:spacing w:before="120" w:beforeLines="50" w:after="120" w:afterLines="50"/>
        <w:ind w:left="482" w:hanging="482"/>
        <w:rPr>
          <w:rFonts w:cs="宋体" w:hint="eastAsia"/>
          <w:b w:val="0"/>
          <w:bCs w:val="0"/>
          <w:sz w:val="28"/>
          <w:szCs w:val="21"/>
        </w:rPr>
      </w:pPr>
      <w:r>
        <w:rPr>
          <w:rFonts w:cs="宋体" w:hint="eastAsia"/>
          <w:b w:val="0"/>
          <w:bCs w:val="0"/>
          <w:sz w:val="28"/>
          <w:szCs w:val="21"/>
        </w:rPr>
        <w:t>中标服务费</w:t>
      </w:r>
    </w:p>
    <w:p>
      <w:pPr>
        <w:widowControl/>
        <w:tabs>
          <w:tab w:val="left" w:pos="540"/>
        </w:tabs>
        <w:autoSpaceDE w:val="0"/>
        <w:autoSpaceDN w:val="0"/>
        <w:ind w:right="18" w:firstLine="480" w:firstLineChars="200"/>
        <w:textAlignment w:val="bottom"/>
        <w:rPr>
          <w:rFonts w:ascii="宋体" w:hAnsi="宋体" w:cs="宋体" w:hint="eastAsia"/>
          <w:szCs w:val="21"/>
        </w:rPr>
      </w:pPr>
      <w:r>
        <w:rPr>
          <w:rFonts w:ascii="宋体" w:hAnsi="宋体" w:cs="宋体" w:hint="eastAsia"/>
          <w:szCs w:val="21"/>
        </w:rPr>
        <w:t>54.中标服务费由中标人支付，中标服务费收费标准按《深圳市财政局员会关于规范深圳市社会采购代理机构管理有关事项的补充通知》（深财购〔2018〕27号）执行，按差额定率累进法计算收取，收费标准如下表所列：</w:t>
      </w:r>
    </w:p>
    <w:tbl>
      <w:tblPr>
        <w:tblStyle w:val="TableNormal"/>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Look w:val="0000"/>
      </w:tblPr>
      <w:tblGrid>
        <w:gridCol w:w="2027"/>
        <w:gridCol w:w="2172"/>
        <w:gridCol w:w="1991"/>
        <w:gridCol w:w="1860"/>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Look w:val="0000"/>
        </w:tblPrEx>
        <w:trPr>
          <w:trHeight w:val="373"/>
          <w:jc w:val="center"/>
        </w:trPr>
        <w:tc>
          <w:tcPr>
            <w:tcW w:w="2027" w:type="dxa"/>
            <w:vAlign w:val="center"/>
          </w:tcPr>
          <w:p>
            <w:pPr>
              <w:widowControl/>
              <w:tabs>
                <w:tab w:val="left" w:pos="540"/>
              </w:tabs>
              <w:autoSpaceDE w:val="0"/>
              <w:autoSpaceDN w:val="0"/>
              <w:spacing w:line="360" w:lineRule="auto"/>
              <w:ind w:right="18"/>
              <w:textAlignment w:val="bottom"/>
              <w:rPr>
                <w:rFonts w:ascii="宋体" w:hAnsi="宋体" w:cs="宋体" w:hint="eastAsia"/>
              </w:rPr>
            </w:pPr>
            <w:r>
              <w:rPr>
                <w:rFonts w:ascii="宋体" w:hAnsi="宋体" w:cs="宋体" w:hint="eastAsia"/>
              </w:rPr>
              <w:t>中标金额（万元）</w:t>
            </w:r>
          </w:p>
        </w:tc>
        <w:tc>
          <w:tcPr>
            <w:tcW w:w="2172" w:type="dxa"/>
            <w:vAlign w:val="center"/>
          </w:tcPr>
          <w:p>
            <w:pPr>
              <w:widowControl/>
              <w:tabs>
                <w:tab w:val="left" w:pos="540"/>
              </w:tabs>
              <w:autoSpaceDE w:val="0"/>
              <w:autoSpaceDN w:val="0"/>
              <w:spacing w:line="360" w:lineRule="auto"/>
              <w:ind w:left="420" w:right="18"/>
              <w:textAlignment w:val="bottom"/>
              <w:rPr>
                <w:rFonts w:ascii="宋体" w:hAnsi="宋体" w:cs="宋体" w:hint="eastAsia"/>
              </w:rPr>
            </w:pPr>
            <w:r>
              <w:rPr>
                <w:rFonts w:ascii="宋体" w:hAnsi="宋体" w:cs="宋体" w:hint="eastAsia"/>
              </w:rPr>
              <w:t>货物采购</w:t>
            </w:r>
          </w:p>
        </w:tc>
        <w:tc>
          <w:tcPr>
            <w:tcW w:w="1991" w:type="dxa"/>
            <w:vAlign w:val="center"/>
          </w:tcPr>
          <w:p>
            <w:pPr>
              <w:widowControl/>
              <w:tabs>
                <w:tab w:val="left" w:pos="540"/>
              </w:tabs>
              <w:autoSpaceDE w:val="0"/>
              <w:autoSpaceDN w:val="0"/>
              <w:spacing w:line="360" w:lineRule="auto"/>
              <w:ind w:left="420" w:right="18"/>
              <w:textAlignment w:val="bottom"/>
              <w:rPr>
                <w:rFonts w:ascii="宋体" w:hAnsi="宋体" w:cs="宋体" w:hint="eastAsia"/>
              </w:rPr>
            </w:pPr>
            <w:r>
              <w:rPr>
                <w:rFonts w:ascii="宋体" w:hAnsi="宋体" w:cs="宋体" w:hint="eastAsia"/>
              </w:rPr>
              <w:t>服务采购</w:t>
            </w:r>
          </w:p>
        </w:tc>
        <w:tc>
          <w:tcPr>
            <w:tcW w:w="1860" w:type="dxa"/>
            <w:vAlign w:val="center"/>
          </w:tcPr>
          <w:p>
            <w:pPr>
              <w:widowControl/>
              <w:tabs>
                <w:tab w:val="left" w:pos="540"/>
              </w:tabs>
              <w:autoSpaceDE w:val="0"/>
              <w:autoSpaceDN w:val="0"/>
              <w:spacing w:line="360" w:lineRule="auto"/>
              <w:ind w:left="420" w:right="18"/>
              <w:textAlignment w:val="bottom"/>
              <w:rPr>
                <w:rFonts w:ascii="宋体" w:hAnsi="宋体" w:cs="宋体" w:hint="eastAsia"/>
              </w:rPr>
            </w:pPr>
            <w:r>
              <w:rPr>
                <w:rFonts w:ascii="宋体" w:hAnsi="宋体" w:cs="宋体" w:hint="eastAsia"/>
              </w:rPr>
              <w:t>工程采购</w:t>
            </w:r>
          </w:p>
        </w:tc>
      </w:tr>
      <w:tr>
        <w:tblPrEx>
          <w:tblW w:w="0" w:type="auto"/>
          <w:jc w:val="center"/>
          <w:tblLayout w:type="fixed"/>
          <w:tblCellMar>
            <w:top w:w="0" w:type="dxa"/>
            <w:left w:w="108" w:type="dxa"/>
            <w:bottom w:w="0" w:type="dxa"/>
            <w:right w:w="108" w:type="dxa"/>
          </w:tblCellMar>
          <w:tblLook w:val="0000"/>
        </w:tblPrEx>
        <w:trPr>
          <w:trHeight w:val="367"/>
          <w:jc w:val="center"/>
        </w:trPr>
        <w:tc>
          <w:tcPr>
            <w:tcW w:w="2027" w:type="dxa"/>
            <w:vAlign w:val="center"/>
          </w:tcPr>
          <w:p>
            <w:pPr>
              <w:widowControl/>
              <w:tabs>
                <w:tab w:val="left" w:pos="540"/>
              </w:tabs>
              <w:autoSpaceDE w:val="0"/>
              <w:autoSpaceDN w:val="0"/>
              <w:spacing w:line="360" w:lineRule="auto"/>
              <w:ind w:left="420" w:right="18"/>
              <w:textAlignment w:val="bottom"/>
              <w:rPr>
                <w:rFonts w:ascii="宋体" w:hAnsi="宋体" w:cs="宋体" w:hint="eastAsia"/>
              </w:rPr>
            </w:pPr>
            <w:r>
              <w:rPr>
                <w:rFonts w:ascii="宋体" w:hAnsi="宋体" w:cs="宋体" w:hint="eastAsia"/>
              </w:rPr>
              <w:t>100以下</w:t>
            </w:r>
          </w:p>
        </w:tc>
        <w:tc>
          <w:tcPr>
            <w:tcW w:w="2172" w:type="dxa"/>
            <w:vAlign w:val="center"/>
          </w:tcPr>
          <w:p>
            <w:pPr>
              <w:widowControl/>
              <w:tabs>
                <w:tab w:val="left" w:pos="540"/>
              </w:tabs>
              <w:autoSpaceDE w:val="0"/>
              <w:autoSpaceDN w:val="0"/>
              <w:spacing w:line="360" w:lineRule="auto"/>
              <w:ind w:left="420" w:right="18"/>
              <w:textAlignment w:val="bottom"/>
              <w:rPr>
                <w:rFonts w:ascii="宋体" w:hAnsi="宋体" w:cs="宋体" w:hint="eastAsia"/>
              </w:rPr>
            </w:pPr>
            <w:r>
              <w:rPr>
                <w:rFonts w:ascii="宋体" w:hAnsi="宋体" w:cs="宋体" w:hint="eastAsia"/>
              </w:rPr>
              <w:t>1.50%</w:t>
            </w:r>
          </w:p>
        </w:tc>
        <w:tc>
          <w:tcPr>
            <w:tcW w:w="1991" w:type="dxa"/>
            <w:vAlign w:val="center"/>
          </w:tcPr>
          <w:p>
            <w:pPr>
              <w:widowControl/>
              <w:tabs>
                <w:tab w:val="left" w:pos="540"/>
              </w:tabs>
              <w:autoSpaceDE w:val="0"/>
              <w:autoSpaceDN w:val="0"/>
              <w:spacing w:line="360" w:lineRule="auto"/>
              <w:ind w:left="420" w:right="18"/>
              <w:textAlignment w:val="bottom"/>
              <w:rPr>
                <w:rFonts w:ascii="宋体" w:hAnsi="宋体" w:cs="宋体" w:hint="eastAsia"/>
              </w:rPr>
            </w:pPr>
            <w:r>
              <w:rPr>
                <w:rFonts w:ascii="宋体" w:hAnsi="宋体" w:cs="宋体" w:hint="eastAsia"/>
              </w:rPr>
              <w:t>1.50%</w:t>
            </w:r>
          </w:p>
        </w:tc>
        <w:tc>
          <w:tcPr>
            <w:tcW w:w="1860" w:type="dxa"/>
            <w:vAlign w:val="center"/>
          </w:tcPr>
          <w:p>
            <w:pPr>
              <w:widowControl/>
              <w:tabs>
                <w:tab w:val="left" w:pos="540"/>
              </w:tabs>
              <w:autoSpaceDE w:val="0"/>
              <w:autoSpaceDN w:val="0"/>
              <w:spacing w:line="360" w:lineRule="auto"/>
              <w:ind w:left="420" w:right="18"/>
              <w:textAlignment w:val="bottom"/>
              <w:rPr>
                <w:rFonts w:ascii="宋体" w:hAnsi="宋体" w:cs="宋体" w:hint="eastAsia"/>
              </w:rPr>
            </w:pPr>
            <w:r>
              <w:rPr>
                <w:rFonts w:ascii="宋体" w:hAnsi="宋体" w:cs="宋体" w:hint="eastAsia"/>
              </w:rPr>
              <w:t>1.00%</w:t>
            </w:r>
          </w:p>
        </w:tc>
      </w:tr>
      <w:tr>
        <w:tblPrEx>
          <w:tblW w:w="0" w:type="auto"/>
          <w:jc w:val="center"/>
          <w:tblLayout w:type="fixed"/>
          <w:tblCellMar>
            <w:top w:w="0" w:type="dxa"/>
            <w:left w:w="108" w:type="dxa"/>
            <w:bottom w:w="0" w:type="dxa"/>
            <w:right w:w="108" w:type="dxa"/>
          </w:tblCellMar>
          <w:tblLook w:val="0000"/>
        </w:tblPrEx>
        <w:trPr>
          <w:trHeight w:val="373"/>
          <w:jc w:val="center"/>
        </w:trPr>
        <w:tc>
          <w:tcPr>
            <w:tcW w:w="2027" w:type="dxa"/>
            <w:vAlign w:val="center"/>
          </w:tcPr>
          <w:p>
            <w:pPr>
              <w:widowControl/>
              <w:tabs>
                <w:tab w:val="left" w:pos="540"/>
              </w:tabs>
              <w:autoSpaceDE w:val="0"/>
              <w:autoSpaceDN w:val="0"/>
              <w:spacing w:line="360" w:lineRule="auto"/>
              <w:ind w:left="420" w:right="18"/>
              <w:textAlignment w:val="bottom"/>
              <w:rPr>
                <w:rFonts w:ascii="宋体" w:hAnsi="宋体" w:cs="宋体" w:hint="eastAsia"/>
              </w:rPr>
            </w:pPr>
            <w:r>
              <w:rPr>
                <w:rFonts w:ascii="宋体" w:hAnsi="宋体" w:cs="宋体" w:hint="eastAsia"/>
              </w:rPr>
              <w:t>100-500</w:t>
            </w:r>
          </w:p>
        </w:tc>
        <w:tc>
          <w:tcPr>
            <w:tcW w:w="2172" w:type="dxa"/>
            <w:vAlign w:val="center"/>
          </w:tcPr>
          <w:p>
            <w:pPr>
              <w:widowControl/>
              <w:tabs>
                <w:tab w:val="left" w:pos="540"/>
              </w:tabs>
              <w:autoSpaceDE w:val="0"/>
              <w:autoSpaceDN w:val="0"/>
              <w:spacing w:line="360" w:lineRule="auto"/>
              <w:ind w:left="420" w:right="18"/>
              <w:textAlignment w:val="bottom"/>
              <w:rPr>
                <w:rFonts w:ascii="宋体" w:hAnsi="宋体" w:cs="宋体" w:hint="eastAsia"/>
              </w:rPr>
            </w:pPr>
            <w:r>
              <w:rPr>
                <w:rFonts w:ascii="宋体" w:hAnsi="宋体" w:cs="宋体" w:hint="eastAsia"/>
              </w:rPr>
              <w:t>1.10%</w:t>
            </w:r>
          </w:p>
        </w:tc>
        <w:tc>
          <w:tcPr>
            <w:tcW w:w="1991" w:type="dxa"/>
            <w:vAlign w:val="center"/>
          </w:tcPr>
          <w:p>
            <w:pPr>
              <w:widowControl/>
              <w:tabs>
                <w:tab w:val="left" w:pos="540"/>
              </w:tabs>
              <w:autoSpaceDE w:val="0"/>
              <w:autoSpaceDN w:val="0"/>
              <w:spacing w:line="360" w:lineRule="auto"/>
              <w:ind w:left="420" w:right="18"/>
              <w:textAlignment w:val="bottom"/>
              <w:rPr>
                <w:rFonts w:ascii="宋体" w:hAnsi="宋体" w:cs="宋体" w:hint="eastAsia"/>
              </w:rPr>
            </w:pPr>
            <w:r>
              <w:rPr>
                <w:rFonts w:ascii="宋体" w:hAnsi="宋体" w:cs="宋体" w:hint="eastAsia"/>
              </w:rPr>
              <w:t>0.80%</w:t>
            </w:r>
          </w:p>
        </w:tc>
        <w:tc>
          <w:tcPr>
            <w:tcW w:w="1860" w:type="dxa"/>
            <w:vAlign w:val="center"/>
          </w:tcPr>
          <w:p>
            <w:pPr>
              <w:widowControl/>
              <w:tabs>
                <w:tab w:val="left" w:pos="540"/>
              </w:tabs>
              <w:autoSpaceDE w:val="0"/>
              <w:autoSpaceDN w:val="0"/>
              <w:spacing w:line="360" w:lineRule="auto"/>
              <w:ind w:left="420" w:right="18"/>
              <w:textAlignment w:val="bottom"/>
              <w:rPr>
                <w:rFonts w:ascii="宋体" w:hAnsi="宋体" w:cs="宋体" w:hint="eastAsia"/>
              </w:rPr>
            </w:pPr>
            <w:r>
              <w:rPr>
                <w:rFonts w:ascii="宋体" w:hAnsi="宋体" w:cs="宋体" w:hint="eastAsia"/>
              </w:rPr>
              <w:t>0.70%</w:t>
            </w:r>
          </w:p>
        </w:tc>
      </w:tr>
      <w:tr>
        <w:tblPrEx>
          <w:tblW w:w="0" w:type="auto"/>
          <w:jc w:val="center"/>
          <w:tblLayout w:type="fixed"/>
          <w:tblCellMar>
            <w:top w:w="0" w:type="dxa"/>
            <w:left w:w="108" w:type="dxa"/>
            <w:bottom w:w="0" w:type="dxa"/>
            <w:right w:w="108" w:type="dxa"/>
          </w:tblCellMar>
          <w:tblLook w:val="0000"/>
        </w:tblPrEx>
        <w:trPr>
          <w:trHeight w:val="373"/>
          <w:jc w:val="center"/>
        </w:trPr>
        <w:tc>
          <w:tcPr>
            <w:tcW w:w="2027" w:type="dxa"/>
            <w:vAlign w:val="center"/>
          </w:tcPr>
          <w:p>
            <w:pPr>
              <w:widowControl/>
              <w:tabs>
                <w:tab w:val="left" w:pos="540"/>
              </w:tabs>
              <w:autoSpaceDE w:val="0"/>
              <w:autoSpaceDN w:val="0"/>
              <w:spacing w:line="360" w:lineRule="auto"/>
              <w:ind w:left="420" w:right="18"/>
              <w:textAlignment w:val="bottom"/>
              <w:rPr>
                <w:rFonts w:ascii="宋体" w:hAnsi="宋体" w:cs="宋体" w:hint="eastAsia"/>
              </w:rPr>
            </w:pPr>
            <w:r>
              <w:rPr>
                <w:rFonts w:ascii="宋体" w:hAnsi="宋体" w:cs="宋体" w:hint="eastAsia"/>
              </w:rPr>
              <w:t>500-1000</w:t>
            </w:r>
          </w:p>
        </w:tc>
        <w:tc>
          <w:tcPr>
            <w:tcW w:w="2172" w:type="dxa"/>
            <w:vAlign w:val="center"/>
          </w:tcPr>
          <w:p>
            <w:pPr>
              <w:widowControl/>
              <w:tabs>
                <w:tab w:val="left" w:pos="540"/>
              </w:tabs>
              <w:autoSpaceDE w:val="0"/>
              <w:autoSpaceDN w:val="0"/>
              <w:spacing w:line="360" w:lineRule="auto"/>
              <w:ind w:left="420" w:right="18"/>
              <w:textAlignment w:val="bottom"/>
              <w:rPr>
                <w:rFonts w:ascii="宋体" w:hAnsi="宋体" w:cs="宋体" w:hint="eastAsia"/>
              </w:rPr>
            </w:pPr>
            <w:r>
              <w:rPr>
                <w:rFonts w:ascii="宋体" w:hAnsi="宋体" w:cs="宋体" w:hint="eastAsia"/>
              </w:rPr>
              <w:t>0.80%</w:t>
            </w:r>
          </w:p>
        </w:tc>
        <w:tc>
          <w:tcPr>
            <w:tcW w:w="1991" w:type="dxa"/>
            <w:vAlign w:val="center"/>
          </w:tcPr>
          <w:p>
            <w:pPr>
              <w:widowControl/>
              <w:tabs>
                <w:tab w:val="left" w:pos="540"/>
              </w:tabs>
              <w:autoSpaceDE w:val="0"/>
              <w:autoSpaceDN w:val="0"/>
              <w:spacing w:line="360" w:lineRule="auto"/>
              <w:ind w:left="420" w:right="18"/>
              <w:textAlignment w:val="bottom"/>
              <w:rPr>
                <w:rFonts w:ascii="宋体" w:hAnsi="宋体" w:cs="宋体" w:hint="eastAsia"/>
              </w:rPr>
            </w:pPr>
            <w:r>
              <w:rPr>
                <w:rFonts w:ascii="宋体" w:hAnsi="宋体" w:cs="宋体" w:hint="eastAsia"/>
              </w:rPr>
              <w:t>0.45%</w:t>
            </w:r>
          </w:p>
        </w:tc>
        <w:tc>
          <w:tcPr>
            <w:tcW w:w="1860" w:type="dxa"/>
            <w:vAlign w:val="center"/>
          </w:tcPr>
          <w:p>
            <w:pPr>
              <w:widowControl/>
              <w:tabs>
                <w:tab w:val="left" w:pos="540"/>
              </w:tabs>
              <w:autoSpaceDE w:val="0"/>
              <w:autoSpaceDN w:val="0"/>
              <w:spacing w:line="360" w:lineRule="auto"/>
              <w:ind w:left="420" w:right="18"/>
              <w:textAlignment w:val="bottom"/>
              <w:rPr>
                <w:rFonts w:ascii="宋体" w:hAnsi="宋体" w:cs="宋体" w:hint="eastAsia"/>
              </w:rPr>
            </w:pPr>
            <w:r>
              <w:rPr>
                <w:rFonts w:ascii="宋体" w:hAnsi="宋体" w:cs="宋体" w:hint="eastAsia"/>
              </w:rPr>
              <w:t>0.55%</w:t>
            </w:r>
          </w:p>
        </w:tc>
      </w:tr>
      <w:tr>
        <w:tblPrEx>
          <w:tblW w:w="0" w:type="auto"/>
          <w:jc w:val="center"/>
          <w:tblLayout w:type="fixed"/>
          <w:tblCellMar>
            <w:top w:w="0" w:type="dxa"/>
            <w:left w:w="108" w:type="dxa"/>
            <w:bottom w:w="0" w:type="dxa"/>
            <w:right w:w="108" w:type="dxa"/>
          </w:tblCellMar>
          <w:tblLook w:val="0000"/>
        </w:tblPrEx>
        <w:trPr>
          <w:trHeight w:val="373"/>
          <w:jc w:val="center"/>
        </w:trPr>
        <w:tc>
          <w:tcPr>
            <w:tcW w:w="2027" w:type="dxa"/>
            <w:vAlign w:val="center"/>
          </w:tcPr>
          <w:p>
            <w:pPr>
              <w:widowControl/>
              <w:tabs>
                <w:tab w:val="left" w:pos="540"/>
              </w:tabs>
              <w:autoSpaceDE w:val="0"/>
              <w:autoSpaceDN w:val="0"/>
              <w:spacing w:line="360" w:lineRule="auto"/>
              <w:ind w:left="420" w:right="18"/>
              <w:textAlignment w:val="bottom"/>
              <w:rPr>
                <w:rFonts w:ascii="宋体" w:hAnsi="宋体" w:cs="宋体" w:hint="eastAsia"/>
              </w:rPr>
            </w:pPr>
            <w:r>
              <w:rPr>
                <w:rFonts w:ascii="宋体" w:hAnsi="宋体" w:cs="宋体" w:hint="eastAsia"/>
              </w:rPr>
              <w:t>1000-5000</w:t>
            </w:r>
          </w:p>
        </w:tc>
        <w:tc>
          <w:tcPr>
            <w:tcW w:w="2172" w:type="dxa"/>
            <w:vAlign w:val="center"/>
          </w:tcPr>
          <w:p>
            <w:pPr>
              <w:widowControl/>
              <w:tabs>
                <w:tab w:val="left" w:pos="540"/>
              </w:tabs>
              <w:autoSpaceDE w:val="0"/>
              <w:autoSpaceDN w:val="0"/>
              <w:spacing w:line="360" w:lineRule="auto"/>
              <w:ind w:left="420" w:right="18"/>
              <w:textAlignment w:val="bottom"/>
              <w:rPr>
                <w:rFonts w:ascii="宋体" w:hAnsi="宋体" w:cs="宋体" w:hint="eastAsia"/>
              </w:rPr>
            </w:pPr>
            <w:r>
              <w:rPr>
                <w:rFonts w:ascii="宋体" w:hAnsi="宋体" w:cs="宋体" w:hint="eastAsia"/>
              </w:rPr>
              <w:t>0.50%</w:t>
            </w:r>
          </w:p>
        </w:tc>
        <w:tc>
          <w:tcPr>
            <w:tcW w:w="1991" w:type="dxa"/>
            <w:vAlign w:val="center"/>
          </w:tcPr>
          <w:p>
            <w:pPr>
              <w:widowControl/>
              <w:tabs>
                <w:tab w:val="left" w:pos="540"/>
              </w:tabs>
              <w:autoSpaceDE w:val="0"/>
              <w:autoSpaceDN w:val="0"/>
              <w:spacing w:line="360" w:lineRule="auto"/>
              <w:ind w:left="420" w:right="18"/>
              <w:textAlignment w:val="bottom"/>
              <w:rPr>
                <w:rFonts w:ascii="宋体" w:hAnsi="宋体" w:cs="宋体" w:hint="eastAsia"/>
              </w:rPr>
            </w:pPr>
            <w:r>
              <w:rPr>
                <w:rFonts w:ascii="宋体" w:hAnsi="宋体" w:cs="宋体" w:hint="eastAsia"/>
              </w:rPr>
              <w:t>0.25%</w:t>
            </w:r>
          </w:p>
        </w:tc>
        <w:tc>
          <w:tcPr>
            <w:tcW w:w="1860" w:type="dxa"/>
            <w:vAlign w:val="center"/>
          </w:tcPr>
          <w:p>
            <w:pPr>
              <w:widowControl/>
              <w:tabs>
                <w:tab w:val="left" w:pos="540"/>
              </w:tabs>
              <w:autoSpaceDE w:val="0"/>
              <w:autoSpaceDN w:val="0"/>
              <w:spacing w:line="360" w:lineRule="auto"/>
              <w:ind w:left="420" w:right="18"/>
              <w:textAlignment w:val="bottom"/>
              <w:rPr>
                <w:rFonts w:ascii="宋体" w:hAnsi="宋体" w:cs="宋体" w:hint="eastAsia"/>
              </w:rPr>
            </w:pPr>
            <w:r>
              <w:rPr>
                <w:rFonts w:ascii="宋体" w:hAnsi="宋体" w:cs="宋体" w:hint="eastAsia"/>
              </w:rPr>
              <w:t>0.35%</w:t>
            </w:r>
          </w:p>
        </w:tc>
      </w:tr>
    </w:tbl>
    <w:p>
      <w:pPr>
        <w:widowControl/>
        <w:tabs>
          <w:tab w:val="left" w:pos="540"/>
        </w:tabs>
        <w:autoSpaceDE w:val="0"/>
        <w:autoSpaceDN w:val="0"/>
        <w:spacing w:line="360" w:lineRule="auto"/>
        <w:ind w:left="420" w:right="18" w:hanging="480" w:hangingChars="200"/>
        <w:textAlignment w:val="bottom"/>
        <w:rPr>
          <w:rFonts w:ascii="宋体" w:hAnsi="宋体" w:cs="宋体" w:hint="eastAsia"/>
        </w:rPr>
      </w:pPr>
    </w:p>
    <w:p>
      <w:pPr>
        <w:autoSpaceDE w:val="0"/>
        <w:autoSpaceDN w:val="0"/>
        <w:adjustRightInd w:val="0"/>
        <w:jc w:val="left"/>
        <w:rPr>
          <w:rFonts w:ascii="宋体" w:hAnsi="宋体" w:cs="宋体" w:hint="eastAsia"/>
          <w:szCs w:val="21"/>
        </w:rPr>
      </w:pPr>
      <w:r>
        <w:rPr>
          <w:rFonts w:ascii="宋体" w:hAnsi="宋体" w:cs="宋体" w:hint="eastAsia"/>
          <w:szCs w:val="21"/>
        </w:rPr>
        <w:t>54.1中标人收到收费通知后，须在三个工作日内向采购代理机构缴纳中标服务费用及领取《中标通知书》原件，由此造成的风险由投标人承担。</w:t>
      </w:r>
    </w:p>
    <w:p>
      <w:pPr>
        <w:autoSpaceDE w:val="0"/>
        <w:autoSpaceDN w:val="0"/>
        <w:adjustRightInd w:val="0"/>
        <w:jc w:val="left"/>
        <w:rPr>
          <w:rFonts w:ascii="宋体" w:hAnsi="宋体" w:cs="宋体" w:hint="eastAsia"/>
          <w:szCs w:val="21"/>
        </w:rPr>
      </w:pPr>
      <w:r>
        <w:rPr>
          <w:rFonts w:ascii="宋体" w:hAnsi="宋体" w:cs="宋体" w:hint="eastAsia"/>
          <w:szCs w:val="21"/>
        </w:rPr>
        <w:t>54.2中标服务费支付方式：一次性以银行汇票、电汇、支票或现金的形式支付。</w:t>
      </w:r>
    </w:p>
    <w:p>
      <w:pPr>
        <w:autoSpaceDE w:val="0"/>
        <w:autoSpaceDN w:val="0"/>
        <w:adjustRightInd w:val="0"/>
        <w:jc w:val="left"/>
        <w:rPr>
          <w:rFonts w:ascii="宋体" w:hAnsi="宋体" w:cs="宋体" w:hint="eastAsia"/>
          <w:szCs w:val="21"/>
        </w:rPr>
      </w:pPr>
      <w:r>
        <w:rPr>
          <w:rFonts w:ascii="宋体" w:hAnsi="宋体" w:cs="宋体" w:hint="eastAsia"/>
          <w:szCs w:val="21"/>
        </w:rPr>
        <w:t>54.3中标服务费不在投标报价中单列，</w:t>
      </w:r>
      <w:r>
        <w:rPr>
          <w:rFonts w:ascii="宋体" w:hAnsi="宋体" w:cs="宋体" w:hint="eastAsia"/>
        </w:rPr>
        <w:t>但投标人应充分考虑此费用</w:t>
      </w:r>
      <w:r>
        <w:rPr>
          <w:rFonts w:ascii="宋体" w:hAnsi="宋体" w:cs="宋体" w:hint="eastAsia"/>
          <w:szCs w:val="21"/>
        </w:rPr>
        <w:t>。</w:t>
      </w:r>
    </w:p>
    <w:p>
      <w:pPr>
        <w:jc w:val="center"/>
        <w:rPr>
          <w:highlight w:val="green"/>
        </w:rPr>
      </w:pPr>
    </w:p>
    <w:p>
      <w:pPr>
        <w:jc w:val="center"/>
        <w:rPr>
          <w:highlight w:val="green"/>
        </w:rPr>
      </w:pPr>
    </w:p>
    <w:p>
      <w:pPr>
        <w:jc w:val="center"/>
        <w:rPr>
          <w:highlight w:val="green"/>
        </w:rPr>
      </w:pPr>
    </w:p>
    <w:p>
      <w:pPr>
        <w:jc w:val="center"/>
        <w:rPr>
          <w:highlight w:val="green"/>
        </w:rPr>
      </w:pPr>
    </w:p>
    <w:p>
      <w:pPr>
        <w:jc w:val="center"/>
        <w:rPr>
          <w:highlight w:val="green"/>
        </w:rPr>
      </w:pPr>
    </w:p>
    <w:p>
      <w:pPr>
        <w:jc w:val="center"/>
        <w:rPr>
          <w:highlight w:val="green"/>
        </w:rPr>
      </w:pPr>
    </w:p>
    <w:p>
      <w:pPr>
        <w:jc w:val="center"/>
        <w:rPr>
          <w:highlight w:val="green"/>
        </w:rPr>
      </w:pPr>
    </w:p>
    <w:p>
      <w:pPr>
        <w:jc w:val="center"/>
        <w:rPr>
          <w:highlight w:val="green"/>
        </w:rPr>
      </w:pPr>
      <w:r>
        <w:rPr>
          <w:highlight w:val="green"/>
        </w:rPr>
        <w:t>---- END ----</w:t>
      </w:r>
    </w:p>
    <w:p>
      <w:pPr>
        <w:rPr>
          <w:rFonts w:ascii="宋体" w:hAnsi="宋体" w:cs="宋体" w:hint="eastAsia"/>
        </w:rPr>
      </w:pPr>
    </w:p>
    <w:p/>
    <w:sectPr>
      <w:pgSz w:w="11906" w:h="16838"/>
      <w:pgMar w:header="720" w:footer="720"/>
      <w:cols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7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黑体">
    <w:panose1 w:val="02010609060101010101"/>
    <w:charset w:val="86"/>
    <w:family w:val="auto"/>
    <w:pitch w:val="default"/>
    <w:sig w:usb0="800002BF" w:usb1="38CF7CFA" w:usb2="00000016" w:usb3="00000000" w:csb0="00040001" w:csb1="00000000"/>
  </w:font>
  <w:font w:name="Wingdings">
    <w:panose1 w:val="05000000000000000000"/>
    <w:charset w:val="02"/>
    <w:family w:val="auto"/>
    <w:pitch w:val="default"/>
    <w:sig w:usb0="00000000" w:usb1="00000000" w:usb2="00000000" w:usb3="00000000" w:csb0="80000000" w:csb1="00000000"/>
  </w:font>
  <w:font w:name="Verdana">
    <w:panose1 w:val="020B0604030504040204"/>
    <w:charset w:val="00"/>
    <w:family w:val="swiss"/>
    <w:pitch w:val="default"/>
    <w:sig w:usb0="A00006FF" w:usb1="4000205B" w:usb2="00000010" w:usb3="00000000" w:csb0="2000019F" w:csb1="00000000"/>
  </w:font>
  <w:font w:name="Courier New">
    <w:panose1 w:val="02070309020205020404"/>
    <w:charset w:val="00"/>
    <w:family w:val="modern"/>
    <w:pitch w:val="default"/>
    <w:sig w:usb0="E0002EFF" w:usb1="C0007843" w:usb2="00000009" w:usb3="00000000" w:csb0="400001FF" w:csb1="FFFF0000"/>
  </w:font>
  <w:font w:name="H Yb 2gj">
    <w:altName w:val="宋体"/>
    <w:panose1 w:val="00000000000000000000"/>
    <w:charset w:val="86"/>
    <w:family w:val="auto"/>
    <w:pitch w:val="default"/>
    <w:sig w:usb0="00000001" w:usb1="080E0000" w:usb2="00000010" w:usb3="00000000" w:csb0="00040000" w:csb1="00000000"/>
  </w:font>
  <w:font w:name="Arial Unicode MS">
    <w:panose1 w:val="020B0604020202020204"/>
    <w:charset w:val="86"/>
    <w:family w:val="roman"/>
    <w:pitch w:val="default"/>
    <w:sig w:usb0="FFFFFFFF" w:usb1="E9FFFFFF" w:usb2="0000003F" w:usb3="00000000" w:csb0="603F01FF" w:csb1="FFFF0000"/>
  </w:font>
  <w:font w:name="隶书">
    <w:panose1 w:val="02010509060101010101"/>
    <w:charset w:val="86"/>
    <w:family w:val="modern"/>
    <w:pitch w:val="default"/>
    <w:sig w:usb0="00000001" w:usb1="080E0000" w:usb2="00000000" w:usb3="00000000" w:csb0="00040000" w:csb1="00000000"/>
  </w:font>
  <w:font w:name="monospace">
    <w:altName w:val="Segoe Print"/>
    <w:panose1 w:val="00000000000000000000"/>
    <w:charset w:val="00"/>
    <w:family w:val="auto"/>
    <w:pitch w:val="default"/>
    <w:sig w:usb0="00000000" w:usb1="00000000" w:usb2="00000000" w:usb3="00000000" w:csb0="00040001" w:csb1="00000000"/>
  </w:font>
  <w:font w:name="ˎ̥">
    <w:altName w:val="微软雅黑"/>
    <w:panose1 w:val="00000000000000000000"/>
    <w:charset w:val="00"/>
    <w:family w:val="roman"/>
    <w:pitch w:val="default"/>
    <w:sig w:usb0="00000000" w:usb1="00000000" w:usb2="00000000" w:usb3="00000000" w:csb0="00040001" w:csb1="00000000"/>
  </w:font>
  <w:font w:name="??">
    <w:altName w:val="微软雅黑"/>
    <w:panose1 w:val="00000000000000000000"/>
    <w:charset w:val="00"/>
    <w:family w:val="auto"/>
    <w:pitch w:val="default"/>
    <w:sig w:usb0="00000000" w:usb1="00000000" w:usb2="00000000" w:usb3="00000000" w:csb0="00040001"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2010609030101010101"/>
    <w:charset w:val="86"/>
    <w:family w:val="modern"/>
    <w:pitch w:val="default"/>
    <w:sig w:usb0="00000001" w:usb1="080E0000" w:usb2="00000000" w:usb3="00000000" w:csb0="00040000" w:csb1="00000000"/>
  </w:font>
  <w:font w:name="汉仪细等线简">
    <w:altName w:val="宋体"/>
    <w:panose1 w:val="00000000000000000000"/>
    <w:charset w:val="86"/>
    <w:family w:val="modern"/>
    <w:pitch w:val="default"/>
    <w:sig w:usb0="00000001" w:usb1="080E0800" w:usb2="00000012" w:usb3="00000000" w:csb0="00040000" w:csb1="00000000"/>
  </w:font>
  <w:font w:name="Helvetica">
    <w:panose1 w:val="020B0504020202030204"/>
    <w:charset w:val="00"/>
    <w:family w:val="swiss"/>
    <w:pitch w:val="default"/>
    <w:sig w:usb0="00000007" w:usb1="00000000" w:usb2="00000000" w:usb3="00000000" w:csb0="00000093" w:csb1="00000000"/>
  </w:font>
  <w:font w:name="Tahoma">
    <w:panose1 w:val="020B0604030504040204"/>
    <w:charset w:val="00"/>
    <w:family w:val="swiss"/>
    <w:pitch w:val="default"/>
    <w:sig w:usb0="E1002EFF" w:usb1="C000605B" w:usb2="00000029" w:usb3="00000000" w:csb0="200101FF" w:csb1="20280000"/>
  </w:font>
  <w:font w:name="长城仿宋">
    <w:altName w:val="仿宋"/>
    <w:panose1 w:val="00000000000000000000"/>
    <w:charset w:val="86"/>
    <w:family w:val="modern"/>
    <w:pitch w:val="default"/>
    <w:sig w:usb0="00000001" w:usb1="080E0000" w:usb2="00000010" w:usb3="00000000" w:csb0="00040000" w:csb1="00000000"/>
  </w:font>
  <w:font w:name="Cambria">
    <w:panose1 w:val="02040503050406030204"/>
    <w:charset w:val="00"/>
    <w:family w:val="roman"/>
    <w:pitch w:val="default"/>
    <w:sig w:usb0="E00006FF" w:usb1="420024FF" w:usb2="02000000" w:usb3="00000000" w:csb0="2000019F" w:csb1="00000000"/>
  </w:font>
  <w:font w:name="文鼎粗黑">
    <w:altName w:val="黑体"/>
    <w:panose1 w:val="00000000000000000000"/>
    <w:charset w:val="86"/>
    <w:family w:val="modern"/>
    <w:pitch w:val="default"/>
    <w:sig w:usb0="00000000" w:usb1="00000000" w:usb2="00000010" w:usb3="00000000" w:csb0="00040000" w:csb1="00000000"/>
  </w:font>
  <w:font w:name="幼圆">
    <w:panose1 w:val="02010509060101010101"/>
    <w:charset w:val="86"/>
    <w:family w:val="modern"/>
    <w:pitch w:val="default"/>
    <w:sig w:usb0="00000001" w:usb1="080E0000" w:usb2="00000000" w:usb3="00000000" w:csb0="00040000" w:csb1="00000000"/>
  </w:font>
  <w:font w:name="Helvetica Neue">
    <w:altName w:val="Times New Roman"/>
    <w:panose1 w:val="02000503000000020004"/>
    <w:charset w:val="00"/>
    <w:family w:val="auto"/>
    <w:pitch w:val="default"/>
    <w:sig w:usb0="E50002FF" w:usb1="500079DB" w:usb2="00000010" w:usb3="00000000" w:csb0="00000000" w:csb1="00000000"/>
  </w:font>
  <w:font w:name="Arial (W1)">
    <w:altName w:val="Arial"/>
    <w:panose1 w:val="00000000000000000000"/>
    <w:charset w:val="00"/>
    <w:family w:val="swiss"/>
    <w:pitch w:val="default"/>
    <w:sig w:usb0="E0002AFF" w:usb1="C0007843" w:usb2="00000009" w:usb3="00000000" w:csb0="000001FF" w:csb1="00000000"/>
  </w:font>
  <w:font w:name="微软雅黑">
    <w:panose1 w:val="020B0503020204020204"/>
    <w:charset w:val="86"/>
    <w:family w:val="auto"/>
    <w:pitch w:val="default"/>
    <w:sig w:usb0="80000287" w:usb1="2ACF3C50" w:usb2="00000016" w:usb3="00000000" w:csb0="0004001F" w:csb1="00000000"/>
  </w:font>
  <w:font w:name="华文隶书">
    <w:panose1 w:val="02010800040101010101"/>
    <w:charset w:val="86"/>
    <w:family w:val="auto"/>
    <w:pitch w:val="default"/>
    <w:sig w:usb0="00000001" w:usb1="080F0000" w:usb2="00000000" w:usb3="00000000" w:csb0="00040000" w:csb1="00000000"/>
  </w:font>
  <w:font w:name="华文琥珀">
    <w:panose1 w:val="02010800040101010101"/>
    <w:charset w:val="86"/>
    <w:family w:val="auto"/>
    <w:pitch w:val="default"/>
    <w:sig w:usb0="00000001" w:usb1="080F0000" w:usb2="00000000" w:usb3="00000000" w:csb0="00040000"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singleLevel"/>
    <w:tmpl w:val="5A4D32C1"/>
    <w:lvl w:ilvl="0">
      <w:start w:val="2"/>
      <w:numFmt w:val="decimal"/>
      <w:lvlText w:val="%1."/>
      <w:lvlJc w:val="left"/>
      <w:pPr>
        <w:tabs>
          <w:tab w:val="num" w:pos="312"/>
        </w:tabs>
      </w:pPr>
    </w:lvl>
  </w:abstractNum>
  <w:abstractNum w:abstractNumId="1">
    <w:nsid w:val="00000002"/>
    <w:multiLevelType w:val="singleLevel"/>
    <w:tmpl w:val="A898BAF5"/>
    <w:lvl w:ilvl="0">
      <w:start w:val="3"/>
      <w:numFmt w:val="chineseCounting"/>
      <w:suff w:val="nothing"/>
      <w:lvlText w:val="%1、"/>
      <w:lvlJc w:val="left"/>
      <w:rPr>
        <w:rFonts w:hint="eastAsia"/>
      </w:rPr>
    </w:lvl>
  </w:abstractNum>
  <w:abstractNum w:abstractNumId="2">
    <w:nsid w:val="00000003"/>
    <w:multiLevelType w:val="singleLevel"/>
    <w:tmpl w:val="F70D1E4C"/>
    <w:lvl w:ilvl="0">
      <w:start w:val="1"/>
      <w:numFmt w:val="decimal"/>
      <w:lvlText w:val="%1."/>
      <w:lvlJc w:val="left"/>
      <w:pPr>
        <w:tabs>
          <w:tab w:val="num" w:pos="312"/>
        </w:tabs>
      </w:pPr>
    </w:lvl>
  </w:abstractNum>
  <w:abstractNum w:abstractNumId="3">
    <w:nsid w:val="00000004"/>
    <w:multiLevelType w:val="singleLevel"/>
    <w:tmpl w:val="EA3F9EC3"/>
    <w:lvl w:ilvl="0">
      <w:start w:val="1"/>
      <w:numFmt w:val="decimal"/>
      <w:lvlText w:val="%1."/>
      <w:lvlJc w:val="left"/>
      <w:pPr>
        <w:tabs>
          <w:tab w:val="num" w:pos="312"/>
        </w:tabs>
      </w:pPr>
    </w:lvl>
  </w:abstractNum>
  <w:abstractNum w:abstractNumId="4">
    <w:nsid w:val="00000005"/>
    <w:multiLevelType w:val="singleLevel"/>
    <w:tmpl w:val="8CFF259E"/>
    <w:lvl w:ilvl="0">
      <w:start w:val="1"/>
      <w:numFmt w:val="chineseCounting"/>
      <w:suff w:val="nothing"/>
      <w:lvlText w:val="%1、"/>
      <w:lvlJc w:val="left"/>
      <w:pPr>
        <w:ind w:left="0" w:firstLine="420"/>
      </w:pPr>
      <w:rPr>
        <w:rFonts w:hint="eastAsia"/>
      </w:rPr>
    </w:lvl>
  </w:abstractNum>
  <w:abstractNum w:abstractNumId="5">
    <w:nsid w:val="00000006"/>
    <w:multiLevelType w:val="multilevel"/>
    <w:tmpl w:val="0053208E"/>
    <w:lvl w:ilvl="0">
      <w:start w:val="1"/>
      <w:numFmt w:val="japaneseCounting"/>
      <w:lvlText w:val="第%1章"/>
      <w:lvlJc w:val="left"/>
      <w:pPr>
        <w:tabs>
          <w:tab w:val="num" w:pos="720"/>
        </w:tabs>
        <w:ind w:left="720" w:hanging="720"/>
      </w:pPr>
      <w:rPr>
        <w:rFonts w:hint="default"/>
      </w:rPr>
    </w:lvl>
    <w:lvl w:ilvl="1">
      <w:start w:val="1"/>
      <w:numFmt w:val="lowerLetter"/>
      <w:lvlText w:val="%2)"/>
      <w:lvlJc w:val="left"/>
      <w:pPr>
        <w:tabs>
          <w:tab w:val="num" w:pos="840"/>
        </w:tabs>
        <w:ind w:left="840" w:hanging="420"/>
      </w:pPr>
    </w:lvl>
    <w:lvl w:ilvl="2">
      <w:start w:val="1"/>
      <w:numFmt w:val="lowerRoman"/>
      <w:lvlText w:val="%3."/>
      <w:lvlJc w:val="right"/>
      <w:pPr>
        <w:tabs>
          <w:tab w:val="num" w:pos="1260"/>
        </w:tabs>
        <w:ind w:left="1260" w:hanging="420"/>
      </w:pPr>
    </w:lvl>
    <w:lvl w:ilvl="3">
      <w:start w:val="1"/>
      <w:numFmt w:val="decimal"/>
      <w:lvlText w:val="%4."/>
      <w:lvlJc w:val="left"/>
      <w:pPr>
        <w:tabs>
          <w:tab w:val="num" w:pos="1680"/>
        </w:tabs>
        <w:ind w:left="1680" w:hanging="420"/>
      </w:pPr>
    </w:lvl>
    <w:lvl w:ilvl="4">
      <w:start w:val="1"/>
      <w:numFmt w:val="lowerLetter"/>
      <w:lvlText w:val="%5)"/>
      <w:lvlJc w:val="left"/>
      <w:pPr>
        <w:tabs>
          <w:tab w:val="num" w:pos="2100"/>
        </w:tabs>
        <w:ind w:left="2100" w:hanging="420"/>
      </w:pPr>
    </w:lvl>
    <w:lvl w:ilvl="5">
      <w:start w:val="1"/>
      <w:numFmt w:val="lowerRoman"/>
      <w:lvlText w:val="%6."/>
      <w:lvlJc w:val="right"/>
      <w:pPr>
        <w:tabs>
          <w:tab w:val="num" w:pos="2520"/>
        </w:tabs>
        <w:ind w:left="2520" w:hanging="420"/>
      </w:pPr>
    </w:lvl>
    <w:lvl w:ilvl="6">
      <w:start w:val="1"/>
      <w:numFmt w:val="decimal"/>
      <w:lvlText w:val="%7."/>
      <w:lvlJc w:val="left"/>
      <w:pPr>
        <w:tabs>
          <w:tab w:val="num" w:pos="2940"/>
        </w:tabs>
        <w:ind w:left="2940" w:hanging="420"/>
      </w:pPr>
    </w:lvl>
    <w:lvl w:ilvl="7">
      <w:start w:val="1"/>
      <w:numFmt w:val="lowerLetter"/>
      <w:lvlText w:val="%8)"/>
      <w:lvlJc w:val="left"/>
      <w:pPr>
        <w:tabs>
          <w:tab w:val="num" w:pos="3360"/>
        </w:tabs>
        <w:ind w:left="3360" w:hanging="420"/>
      </w:pPr>
    </w:lvl>
    <w:lvl w:ilvl="8">
      <w:start w:val="1"/>
      <w:numFmt w:val="lowerRoman"/>
      <w:lvlText w:val="%9."/>
      <w:lvlJc w:val="right"/>
      <w:pPr>
        <w:tabs>
          <w:tab w:val="num" w:pos="3780"/>
        </w:tabs>
        <w:ind w:left="3780" w:hanging="420"/>
      </w:pPr>
    </w:lvl>
  </w:abstractNum>
  <w:num w:numId="1">
    <w:abstractNumId w:val="0"/>
  </w:num>
  <w:num w:numId="2">
    <w:abstractNumId w:val="1"/>
  </w:num>
  <w:num w:numId="3">
    <w:abstractNumId w:val="2"/>
  </w:num>
  <w:num w:numId="4">
    <w:abstractNumId w:val="3"/>
  </w:num>
  <w:num w:numId="5">
    <w:abstractNumId w:val="4"/>
  </w:num>
  <w:num w:numId="6">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grammar="clean"/>
  <w:stylePaneFormatFilter w:val="3F01"/>
  <w:trackRevisions/>
  <w:defaultTabStop w:val="720"/>
  <w:noPunctuationKerning/>
  <w:characterSpacingControl w:val="doNotCompress"/>
  <w:compat>
    <w:ulTrailSpace/>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szCs w:val="24"/>
    </w:rPr>
  </w:style>
  <w:style w:type="paragraph" w:styleId="Heading1">
    <w:name w:val="heading 1"/>
    <w:basedOn w:val="Heading3"/>
    <w:next w:val="Normal"/>
    <w:link w:val="1"/>
    <w:qFormat/>
    <w:pPr>
      <w:spacing w:before="340" w:after="330" w:line="360" w:lineRule="auto"/>
      <w:jc w:val="center"/>
      <w:outlineLvl w:val="0"/>
    </w:pPr>
    <w:rPr>
      <w:rFonts w:ascii="宋体" w:eastAsia="黑体" w:hAnsi="宋体"/>
      <w:b w:val="0"/>
      <w:bCs w:val="0"/>
      <w:kern w:val="44"/>
      <w:sz w:val="28"/>
      <w:szCs w:val="44"/>
    </w:rPr>
  </w:style>
  <w:style w:type="paragraph" w:styleId="Heading2">
    <w:name w:val="heading 2"/>
    <w:basedOn w:val="Normal"/>
    <w:next w:val="Normal"/>
    <w:link w:val="2"/>
    <w:qFormat/>
    <w:pPr>
      <w:adjustRightInd w:val="0"/>
      <w:jc w:val="center"/>
      <w:textAlignment w:val="baseline"/>
      <w:outlineLvl w:val="1"/>
    </w:pPr>
    <w:rPr>
      <w:rFonts w:ascii="宋体" w:hAnsi="宋体"/>
      <w:b/>
      <w:bCs/>
      <w:kern w:val="0"/>
      <w:sz w:val="24"/>
      <w:szCs w:val="20"/>
    </w:rPr>
  </w:style>
  <w:style w:type="paragraph" w:styleId="Heading3">
    <w:name w:val="heading 3"/>
    <w:basedOn w:val="Normal"/>
    <w:next w:val="Normal"/>
    <w:link w:val="3"/>
    <w:qFormat/>
    <w:pPr>
      <w:spacing w:before="260" w:after="260"/>
      <w:outlineLvl w:val="2"/>
    </w:pPr>
    <w:rPr>
      <w:rFonts w:ascii="宋体" w:hAnsi="宋体"/>
      <w:b/>
      <w:bCs/>
      <w:sz w:val="28"/>
      <w:szCs w:val="32"/>
    </w:rPr>
  </w:style>
  <w:style w:type="paragraph" w:styleId="Heading4">
    <w:name w:val="heading 4"/>
    <w:basedOn w:val="Normal"/>
    <w:next w:val="Normal"/>
    <w:link w:val="4"/>
    <w:qFormat/>
    <w:pPr>
      <w:keepNext/>
      <w:keepLines/>
      <w:spacing w:before="280" w:after="290" w:line="376" w:lineRule="auto"/>
      <w:outlineLvl w:val="3"/>
    </w:pPr>
    <w:rPr>
      <w:rFonts w:ascii="Arial" w:eastAsia="黑体" w:hAnsi="Arial"/>
      <w:b/>
      <w:bCs/>
      <w:sz w:val="28"/>
      <w:szCs w:val="28"/>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BodyText">
    <w:name w:val="Body Text"/>
    <w:basedOn w:val="Normal"/>
    <w:next w:val="Normal"/>
    <w:link w:val="a"/>
    <w:qFormat/>
    <w:pPr>
      <w:spacing w:line="360" w:lineRule="auto"/>
    </w:pPr>
    <w:rPr>
      <w:b/>
      <w:bCs/>
      <w:sz w:val="24"/>
    </w:rPr>
  </w:style>
  <w:style w:type="character" w:customStyle="1" w:styleId="a">
    <w:name w:val="正文文本 字符"/>
    <w:link w:val="BodyText"/>
    <w:qFormat/>
    <w:rPr>
      <w:rFonts w:eastAsia="宋体"/>
      <w:b/>
      <w:bCs/>
      <w:kern w:val="2"/>
      <w:sz w:val="24"/>
      <w:szCs w:val="24"/>
      <w:lang w:val="en-US" w:eastAsia="zh-CN" w:bidi="ar-SA"/>
    </w:rPr>
  </w:style>
  <w:style w:type="paragraph" w:styleId="Title">
    <w:name w:val="Title"/>
    <w:basedOn w:val="Normal"/>
    <w:next w:val="Normal"/>
    <w:link w:val="a0"/>
    <w:qFormat/>
    <w:pPr>
      <w:spacing w:before="240" w:after="60"/>
      <w:jc w:val="center"/>
      <w:outlineLvl w:val="0"/>
    </w:pPr>
    <w:rPr>
      <w:rFonts w:ascii="Arial" w:eastAsia="隶书" w:hAnsi="Arial" w:cs="Arial"/>
      <w:b/>
      <w:bCs/>
      <w:sz w:val="32"/>
      <w:szCs w:val="32"/>
    </w:rPr>
  </w:style>
  <w:style w:type="character" w:customStyle="1" w:styleId="a0">
    <w:name w:val="标题 字符"/>
    <w:link w:val="Title"/>
    <w:qFormat/>
    <w:rPr>
      <w:rFonts w:ascii="Arial" w:eastAsia="隶书" w:hAnsi="Arial" w:cs="Arial"/>
      <w:b/>
      <w:bCs/>
      <w:kern w:val="2"/>
      <w:sz w:val="32"/>
      <w:szCs w:val="32"/>
      <w:lang w:val="en-US" w:eastAsia="zh-CN" w:bidi="ar-SA"/>
    </w:rPr>
  </w:style>
  <w:style w:type="paragraph" w:customStyle="1" w:styleId="a1">
    <w:name w:val="表格文字"/>
    <w:basedOn w:val="Normal"/>
    <w:qFormat/>
    <w:pPr>
      <w:spacing w:before="25" w:after="25"/>
      <w:jc w:val="left"/>
    </w:pPr>
    <w:rPr>
      <w:bCs/>
      <w:spacing w:val="10"/>
      <w:kern w:val="0"/>
      <w:sz w:val="24"/>
    </w:rPr>
  </w:style>
  <w:style w:type="character" w:customStyle="1" w:styleId="3">
    <w:name w:val="标题 3 字符"/>
    <w:link w:val="Heading3"/>
    <w:qFormat/>
    <w:rPr>
      <w:rFonts w:ascii="宋体" w:eastAsia="宋体" w:hAnsi="宋体"/>
      <w:b/>
      <w:bCs/>
      <w:kern w:val="2"/>
      <w:sz w:val="28"/>
      <w:szCs w:val="32"/>
      <w:lang w:val="en-US" w:eastAsia="zh-CN" w:bidi="ar-SA"/>
    </w:rPr>
  </w:style>
  <w:style w:type="character" w:customStyle="1" w:styleId="1">
    <w:name w:val="标题 1 字符"/>
    <w:link w:val="Heading1"/>
    <w:qFormat/>
    <w:rPr>
      <w:rFonts w:ascii="宋体" w:eastAsia="黑体" w:hAnsi="宋体"/>
      <w:b/>
      <w:bCs/>
      <w:kern w:val="44"/>
      <w:sz w:val="28"/>
      <w:szCs w:val="44"/>
      <w:lang w:val="en-US" w:eastAsia="zh-CN" w:bidi="ar-SA"/>
    </w:rPr>
  </w:style>
  <w:style w:type="character" w:customStyle="1" w:styleId="2">
    <w:name w:val="标题 2 字符"/>
    <w:link w:val="Heading2"/>
    <w:qFormat/>
    <w:rPr>
      <w:rFonts w:ascii="宋体" w:eastAsia="宋体" w:hAnsi="宋体"/>
      <w:b/>
      <w:bCs/>
      <w:sz w:val="24"/>
      <w:lang w:val="en-US" w:eastAsia="zh-CN" w:bidi="ar-SA"/>
    </w:rPr>
  </w:style>
  <w:style w:type="paragraph" w:styleId="PlainText">
    <w:name w:val="Plain Text"/>
    <w:basedOn w:val="Normal"/>
    <w:next w:val="Default"/>
    <w:link w:val="a2"/>
    <w:uiPriority w:val="99"/>
    <w:qFormat/>
    <w:rPr>
      <w:rFonts w:ascii="宋体" w:hAnsi="Courier New"/>
      <w:szCs w:val="20"/>
    </w:rPr>
  </w:style>
  <w:style w:type="paragraph" w:customStyle="1" w:styleId="Default">
    <w:name w:val="Default"/>
    <w:qFormat/>
    <w:pPr>
      <w:widowControl w:val="0"/>
      <w:autoSpaceDE w:val="0"/>
      <w:autoSpaceDN w:val="0"/>
      <w:adjustRightInd w:val="0"/>
    </w:pPr>
    <w:rPr>
      <w:rFonts w:ascii="H Yb 2gj" w:eastAsia="H Yb 2gj" w:cs="H Yb 2gj"/>
      <w:color w:val="000000"/>
      <w:sz w:val="24"/>
      <w:szCs w:val="24"/>
      <w:lang w:val="en-US" w:eastAsia="zh-CN" w:bidi="ar-SA"/>
    </w:rPr>
  </w:style>
  <w:style w:type="character" w:customStyle="1" w:styleId="a2">
    <w:name w:val="纯文本 字符"/>
    <w:link w:val="PlainText"/>
    <w:uiPriority w:val="99"/>
    <w:qFormat/>
    <w:rPr>
      <w:rFonts w:ascii="宋体" w:eastAsia="宋体" w:hAnsi="Courier New"/>
      <w:kern w:val="2"/>
      <w:sz w:val="21"/>
      <w:lang w:val="en-US" w:eastAsia="zh-CN" w:bidi="ar-SA"/>
    </w:rPr>
  </w:style>
  <w:style w:type="paragraph" w:styleId="BodyTextFirstIndent2">
    <w:name w:val="Body Text First Indent 2"/>
    <w:basedOn w:val="BodyTextIndent"/>
    <w:qFormat/>
    <w:pPr>
      <w:spacing w:after="120" w:line="240" w:lineRule="auto"/>
      <w:ind w:left="420" w:leftChars="200"/>
    </w:pPr>
    <w:rPr>
      <w:rFonts w:ascii="Times New Roman" w:hAnsi="Times New Roman"/>
    </w:rPr>
  </w:style>
  <w:style w:type="paragraph" w:styleId="BodyTextIndent">
    <w:name w:val="Body Text Indent"/>
    <w:basedOn w:val="Normal"/>
    <w:link w:val="a3"/>
    <w:qFormat/>
    <w:pPr>
      <w:spacing w:line="360" w:lineRule="auto"/>
      <w:ind w:firstLine="420" w:firstLineChars="200"/>
    </w:pPr>
  </w:style>
  <w:style w:type="character" w:customStyle="1" w:styleId="a3">
    <w:name w:val="正文文本缩进 字符"/>
    <w:link w:val="BodyTextIndent"/>
    <w:qFormat/>
    <w:rPr>
      <w:rFonts w:eastAsia="宋体"/>
      <w:kern w:val="2"/>
      <w:sz w:val="21"/>
      <w:szCs w:val="24"/>
      <w:lang w:val="en-US" w:eastAsia="zh-CN" w:bidi="ar-SA"/>
    </w:rPr>
  </w:style>
  <w:style w:type="paragraph" w:styleId="NormalWeb">
    <w:name w:val="Normal (Web)"/>
    <w:basedOn w:val="Normal"/>
    <w:qFormat/>
    <w:pPr>
      <w:spacing w:beforeAutospacing="1" w:afterAutospacing="1"/>
      <w:jc w:val="left"/>
    </w:pPr>
    <w:rPr>
      <w:kern w:val="0"/>
      <w:sz w:val="24"/>
    </w:rPr>
  </w:style>
  <w:style w:type="character" w:customStyle="1" w:styleId="3Char">
    <w:name w:val="标题 3 Char"/>
    <w:qFormat/>
    <w:rPr>
      <w:rFonts w:ascii="黑体" w:eastAsia="黑体"/>
      <w:bCs/>
      <w:sz w:val="30"/>
    </w:rPr>
  </w:style>
  <w:style w:type="paragraph" w:styleId="NormalIndent">
    <w:name w:val="Normal Indent"/>
    <w:basedOn w:val="Normal"/>
    <w:link w:val="a4"/>
    <w:qFormat/>
    <w:pPr>
      <w:ind w:firstLine="420"/>
    </w:pPr>
    <w:rPr>
      <w:szCs w:val="20"/>
    </w:rPr>
  </w:style>
  <w:style w:type="character" w:customStyle="1" w:styleId="a4">
    <w:name w:val="正文缩进 字符"/>
    <w:link w:val="NormalIndent"/>
    <w:qFormat/>
    <w:rPr>
      <w:rFonts w:eastAsia="宋体"/>
      <w:kern w:val="2"/>
      <w:sz w:val="21"/>
      <w:lang w:val="en-US" w:eastAsia="zh-CN" w:bidi="ar-SA"/>
    </w:rPr>
  </w:style>
  <w:style w:type="character" w:customStyle="1" w:styleId="4">
    <w:name w:val="标题 4 字符"/>
    <w:link w:val="Heading4"/>
    <w:qFormat/>
    <w:rPr>
      <w:rFonts w:ascii="Arial" w:eastAsia="黑体" w:hAnsi="Arial"/>
      <w:b/>
      <w:bCs/>
      <w:kern w:val="2"/>
      <w:sz w:val="28"/>
      <w:szCs w:val="28"/>
      <w:lang w:val="en-US" w:eastAsia="zh-CN" w:bidi="ar-SA"/>
    </w:rPr>
  </w:style>
  <w:style w:type="paragraph" w:styleId="TOC1">
    <w:name w:val="toc 1"/>
    <w:basedOn w:val="Normal"/>
    <w:next w:val="Normal"/>
    <w:semiHidden/>
    <w:qFormat/>
    <w:pPr>
      <w:spacing w:before="120" w:after="120"/>
      <w:jc w:val="left"/>
    </w:pPr>
    <w:rPr>
      <w:b/>
      <w:bCs/>
      <w:caps/>
    </w:rPr>
  </w:style>
  <w:style w:type="character" w:styleId="Hyperlink">
    <w:name w:val="Hyperlink"/>
    <w:qFormat/>
    <w:rPr>
      <w:rFonts w:ascii="宋体" w:eastAsia="宋体" w:hAnsi="宋体" w:cs="宋体" w:hint="eastAsia"/>
      <w:color w:val="0031C1"/>
      <w:sz w:val="18"/>
      <w:szCs w:val="18"/>
      <w:u w:val="none"/>
    </w:rPr>
  </w:style>
</w:styles>
</file>

<file path=word/webSettings.xml><?xml version="1.0" encoding="utf-8"?>
<w:webSettings xmlns:r="http://schemas.openxmlformats.org/officeDocument/2006/relationships" xmlns:w="http://schemas.openxmlformats.org/wordprocessingml/2006/main"/>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jpeg" /><Relationship Id="rId5" Type="http://schemas.openxmlformats.org/officeDocument/2006/relationships/image" Target="media/image2.png" /><Relationship Id="rId6" Type="http://schemas.openxmlformats.org/officeDocument/2006/relationships/image" Target="media/image3.png" /><Relationship Id="rId7" Type="http://schemas.openxmlformats.org/officeDocument/2006/relationships/image" Target="media/image4.png" /><Relationship Id="rId8" Type="http://schemas.openxmlformats.org/officeDocument/2006/relationships/image" Target="media/image5.png" /><Relationship Id="rId9" Type="http://schemas.openxmlformats.org/officeDocument/2006/relationships/numbering" Target="numbering.xml" /></Relationships>
</file>

<file path=docProps/app.xml><?xml version="1.0" encoding="utf-8"?>
<Properties xmlns="http://schemas.openxmlformats.org/officeDocument/2006/extended-properties" xmlns:vt="http://schemas.openxmlformats.org/officeDocument/2006/docPropsVTypes">
  <Template>Normal.dot</Template>
  <TotalTime>0</TotalTime>
  <Pages>55</Pages>
  <Words>0</Words>
  <Characters>0</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1</cp:revision>
</cp:coreProperties>
</file>